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5" w:type="dxa"/>
        <w:tblLayout w:type="fixed"/>
        <w:tblLook w:val="01E0" w:firstRow="1" w:lastRow="1" w:firstColumn="1" w:lastColumn="1" w:noHBand="0" w:noVBand="0"/>
      </w:tblPr>
      <w:tblGrid>
        <w:gridCol w:w="3941"/>
        <w:gridCol w:w="760"/>
        <w:gridCol w:w="2509"/>
        <w:gridCol w:w="2265"/>
      </w:tblGrid>
      <w:tr w:rsidR="00AD7938" w:rsidRPr="00AD7938" w14:paraId="21CED257" w14:textId="77777777" w:rsidTr="00DB5CAC">
        <w:trPr>
          <w:cantSplit/>
          <w:trHeight w:val="2071"/>
        </w:trPr>
        <w:tc>
          <w:tcPr>
            <w:tcW w:w="4701" w:type="dxa"/>
            <w:gridSpan w:val="2"/>
            <w:tcBorders>
              <w:bottom w:val="single" w:sz="24" w:space="0" w:color="auto"/>
            </w:tcBorders>
          </w:tcPr>
          <w:p w14:paraId="1789AD80" w14:textId="77777777" w:rsidR="00AD7938" w:rsidRPr="00AD7938" w:rsidRDefault="0099071F" w:rsidP="00AD7938">
            <w:pPr>
              <w:pStyle w:val="ACMasthead-FAALogo"/>
            </w:pPr>
            <w:r>
              <w:rPr>
                <w:noProof/>
              </w:rPr>
              <w:t xml:space="preserve"> </w:t>
            </w:r>
            <w:r w:rsidR="005171E8">
              <w:rPr>
                <w:noProof/>
              </w:rPr>
              <w:fldChar w:fldCharType="begin"/>
            </w:r>
            <w:r w:rsidR="005171E8">
              <w:rPr>
                <w:noProof/>
              </w:rPr>
              <w:instrText>IMPORT C:\\WP51\\WPFILES\\DOTLOGO.PLT \* mergeformat</w:instrText>
            </w:r>
            <w:r w:rsidR="005171E8">
              <w:rPr>
                <w:noProof/>
              </w:rPr>
              <w:fldChar w:fldCharType="separate"/>
            </w:r>
            <w:r w:rsidR="00EB1D35">
              <w:rPr>
                <w:noProof/>
              </w:rPr>
              <w:drawing>
                <wp:inline distT="0" distB="0" distL="0" distR="0" wp14:anchorId="3A9908D1" wp14:editId="1BF40D2C">
                  <wp:extent cx="352552" cy="335269"/>
                  <wp:effectExtent l="0" t="0" r="9525" b="8255"/>
                  <wp:docPr id="5" name="Picture 2" descr="U.S. Department of Transportation seal." title="U.S. Department of Transport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ederal Aviation Administration (FAA) logo." title="US Department of Transportation, Federal Aviation Administ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4645"/>
                          </a:xfrm>
                          <a:prstGeom prst="rect">
                            <a:avLst/>
                          </a:prstGeom>
                          <a:noFill/>
                          <a:ln>
                            <a:noFill/>
                          </a:ln>
                        </pic:spPr>
                      </pic:pic>
                    </a:graphicData>
                  </a:graphic>
                </wp:inline>
              </w:drawing>
            </w:r>
            <w:r w:rsidR="005171E8">
              <w:rPr>
                <w:noProof/>
              </w:rPr>
              <w:fldChar w:fldCharType="end"/>
            </w:r>
          </w:p>
          <w:p w14:paraId="17D1B3DC" w14:textId="77777777" w:rsidR="00AD7938" w:rsidRPr="00BB02EA" w:rsidRDefault="00AD7938" w:rsidP="00AD7938">
            <w:pPr>
              <w:pStyle w:val="ACMasthead-USDOT"/>
              <w:rPr>
                <w:b/>
              </w:rPr>
            </w:pPr>
            <w:r w:rsidRPr="00BB02EA">
              <w:rPr>
                <w:b/>
              </w:rPr>
              <w:t>U.S. Department</w:t>
            </w:r>
          </w:p>
          <w:p w14:paraId="62EDC6C7" w14:textId="77777777" w:rsidR="00AD7938" w:rsidRPr="00BB02EA" w:rsidRDefault="00AD7938" w:rsidP="00AD7938">
            <w:pPr>
              <w:pStyle w:val="ACMasthead-USDOT"/>
              <w:rPr>
                <w:b/>
              </w:rPr>
            </w:pPr>
            <w:r w:rsidRPr="00BB02EA">
              <w:rPr>
                <w:b/>
              </w:rPr>
              <w:t>of Transportation</w:t>
            </w:r>
          </w:p>
          <w:p w14:paraId="56EFA18C" w14:textId="77777777" w:rsidR="00AD7938" w:rsidRPr="00BB02EA" w:rsidRDefault="00AD7938" w:rsidP="00AD7938">
            <w:pPr>
              <w:pStyle w:val="ACMasthead-FAA"/>
              <w:rPr>
                <w:b w:val="0"/>
              </w:rPr>
            </w:pPr>
            <w:r w:rsidRPr="00BB02EA">
              <w:rPr>
                <w:b w:val="0"/>
              </w:rPr>
              <w:t>Federal Aviation</w:t>
            </w:r>
          </w:p>
          <w:p w14:paraId="42156F38" w14:textId="77777777" w:rsidR="00AD7938" w:rsidRPr="00AD7938" w:rsidRDefault="00AD7938" w:rsidP="00576290">
            <w:pPr>
              <w:pStyle w:val="ACMasthead-FAA"/>
            </w:pPr>
            <w:r w:rsidRPr="00BB02EA">
              <w:rPr>
                <w:b w:val="0"/>
              </w:rPr>
              <w:t>Administration</w:t>
            </w:r>
          </w:p>
        </w:tc>
        <w:tc>
          <w:tcPr>
            <w:tcW w:w="4774" w:type="dxa"/>
            <w:gridSpan w:val="2"/>
            <w:tcBorders>
              <w:bottom w:val="single" w:sz="24" w:space="0" w:color="auto"/>
            </w:tcBorders>
          </w:tcPr>
          <w:p w14:paraId="4B589EBF" w14:textId="47165E6E" w:rsidR="00AD7938" w:rsidRPr="00AD7938" w:rsidRDefault="00AD7938" w:rsidP="00AD7938">
            <w:pPr>
              <w:pStyle w:val="ACMasthead-Title"/>
            </w:pPr>
            <w:r w:rsidRPr="00AD7938">
              <w:t>Advisory Circular</w:t>
            </w:r>
          </w:p>
        </w:tc>
      </w:tr>
      <w:tr w:rsidR="00AD7938" w:rsidRPr="00313E77" w14:paraId="0D96DA7F" w14:textId="77777777" w:rsidTr="00FE01D3">
        <w:trPr>
          <w:cantSplit/>
          <w:trHeight w:val="698"/>
        </w:trPr>
        <w:tc>
          <w:tcPr>
            <w:tcW w:w="4701" w:type="dxa"/>
            <w:gridSpan w:val="2"/>
            <w:tcBorders>
              <w:top w:val="single" w:sz="24" w:space="0" w:color="auto"/>
            </w:tcBorders>
            <w:tcMar>
              <w:top w:w="115" w:type="dxa"/>
              <w:left w:w="115" w:type="dxa"/>
              <w:bottom w:w="115" w:type="dxa"/>
              <w:right w:w="115" w:type="dxa"/>
            </w:tcMar>
          </w:tcPr>
          <w:p w14:paraId="16681BFD" w14:textId="77777777" w:rsidR="00AD7938" w:rsidRPr="00313E77" w:rsidRDefault="00AD7938" w:rsidP="0029621A">
            <w:pPr>
              <w:pStyle w:val="ACMasthead-SubjectLine"/>
              <w:rPr>
                <w:sz w:val="24"/>
              </w:rPr>
            </w:pPr>
            <w:r w:rsidRPr="00313E77">
              <w:rPr>
                <w:rStyle w:val="Lead-in-Bold"/>
                <w:sz w:val="24"/>
                <w:szCs w:val="24"/>
              </w:rPr>
              <w:t>Subject:</w:t>
            </w:r>
            <w:r w:rsidR="00ED1ADF" w:rsidRPr="00313E77">
              <w:rPr>
                <w:sz w:val="24"/>
              </w:rPr>
              <w:t xml:space="preserve"> </w:t>
            </w:r>
            <w:r w:rsidR="001906D6">
              <w:rPr>
                <w:sz w:val="24"/>
              </w:rPr>
              <w:t xml:space="preserve">Continued Airworthiness Assessment </w:t>
            </w:r>
            <w:r w:rsidR="007F669C">
              <w:rPr>
                <w:sz w:val="24"/>
              </w:rPr>
              <w:t xml:space="preserve">Methodologies </w:t>
            </w:r>
            <w:r w:rsidR="001906D6">
              <w:rPr>
                <w:sz w:val="24"/>
              </w:rPr>
              <w:t>of Powerplant and Auxiliary Power Unit Installations on Transport Category Airplanes</w:t>
            </w:r>
          </w:p>
        </w:tc>
        <w:tc>
          <w:tcPr>
            <w:tcW w:w="2509" w:type="dxa"/>
            <w:tcBorders>
              <w:top w:val="single" w:sz="24" w:space="0" w:color="auto"/>
            </w:tcBorders>
            <w:tcMar>
              <w:top w:w="115" w:type="dxa"/>
              <w:left w:w="115" w:type="dxa"/>
              <w:bottom w:w="115" w:type="dxa"/>
              <w:right w:w="115" w:type="dxa"/>
            </w:tcMar>
          </w:tcPr>
          <w:p w14:paraId="33067E38" w14:textId="77777777" w:rsidR="00AD7938" w:rsidRPr="00313E77" w:rsidRDefault="00AD7938" w:rsidP="00AD7938">
            <w:pPr>
              <w:pStyle w:val="ACMasthead-SubjectLine"/>
              <w:rPr>
                <w:sz w:val="24"/>
              </w:rPr>
            </w:pPr>
            <w:r w:rsidRPr="00313E77">
              <w:rPr>
                <w:rStyle w:val="Lead-in-Bold"/>
                <w:sz w:val="24"/>
                <w:szCs w:val="24"/>
              </w:rPr>
              <w:t>Date:</w:t>
            </w:r>
            <w:r w:rsidR="00ED1ADF" w:rsidRPr="00313E77">
              <w:rPr>
                <w:sz w:val="24"/>
              </w:rPr>
              <w:t xml:space="preserve"> </w:t>
            </w:r>
            <w:r w:rsidR="00313E77">
              <w:rPr>
                <w:sz w:val="24"/>
              </w:rPr>
              <w:t>MM/DD/YY</w:t>
            </w:r>
          </w:p>
          <w:p w14:paraId="1B2504DC" w14:textId="0E465B8E" w:rsidR="00AD7938" w:rsidRPr="00313E77" w:rsidRDefault="00AD7938" w:rsidP="005A76A1">
            <w:pPr>
              <w:pStyle w:val="ACMasthead-SubjectLine"/>
              <w:rPr>
                <w:sz w:val="24"/>
              </w:rPr>
            </w:pPr>
            <w:r w:rsidRPr="00313E77">
              <w:rPr>
                <w:rStyle w:val="Lead-in-Bold"/>
                <w:sz w:val="24"/>
                <w:szCs w:val="24"/>
              </w:rPr>
              <w:t>Initiated By:</w:t>
            </w:r>
            <w:r w:rsidR="00ED1ADF" w:rsidRPr="00313E77">
              <w:rPr>
                <w:sz w:val="24"/>
              </w:rPr>
              <w:t xml:space="preserve"> </w:t>
            </w:r>
            <w:r w:rsidR="00F37675" w:rsidRPr="00313E77">
              <w:rPr>
                <w:sz w:val="24"/>
              </w:rPr>
              <w:t>A</w:t>
            </w:r>
            <w:r w:rsidR="009E3F7E" w:rsidRPr="00313E77">
              <w:rPr>
                <w:sz w:val="24"/>
              </w:rPr>
              <w:t>IR</w:t>
            </w:r>
            <w:r w:rsidR="009E3F7E" w:rsidRPr="00313E77">
              <w:rPr>
                <w:sz w:val="24"/>
              </w:rPr>
              <w:noBreakHyphen/>
            </w:r>
            <w:r w:rsidR="00B10B2E" w:rsidRPr="00313E77">
              <w:rPr>
                <w:sz w:val="24"/>
              </w:rPr>
              <w:t>6</w:t>
            </w:r>
            <w:r w:rsidR="00B10B2E">
              <w:rPr>
                <w:sz w:val="24"/>
              </w:rPr>
              <w:t>30</w:t>
            </w:r>
          </w:p>
        </w:tc>
        <w:tc>
          <w:tcPr>
            <w:tcW w:w="2265" w:type="dxa"/>
            <w:tcBorders>
              <w:top w:val="single" w:sz="24" w:space="0" w:color="auto"/>
            </w:tcBorders>
            <w:tcMar>
              <w:top w:w="115" w:type="dxa"/>
              <w:left w:w="115" w:type="dxa"/>
              <w:bottom w:w="115" w:type="dxa"/>
              <w:right w:w="115" w:type="dxa"/>
            </w:tcMar>
          </w:tcPr>
          <w:p w14:paraId="76382F94" w14:textId="77777777" w:rsidR="009E3F7E" w:rsidRPr="00313E77" w:rsidRDefault="00AD7938" w:rsidP="00AD7938">
            <w:pPr>
              <w:pStyle w:val="ACMasthead-SubjectLine"/>
              <w:rPr>
                <w:sz w:val="24"/>
              </w:rPr>
            </w:pPr>
            <w:r w:rsidRPr="00313E77">
              <w:rPr>
                <w:rStyle w:val="Lead-in-Bold"/>
                <w:sz w:val="24"/>
                <w:szCs w:val="24"/>
              </w:rPr>
              <w:t>AC No:</w:t>
            </w:r>
            <w:r w:rsidR="00ED1ADF" w:rsidRPr="00313E77">
              <w:rPr>
                <w:sz w:val="24"/>
              </w:rPr>
              <w:t xml:space="preserve"> </w:t>
            </w:r>
            <w:r w:rsidR="001906D6">
              <w:rPr>
                <w:sz w:val="24"/>
              </w:rPr>
              <w:t>39-8A</w:t>
            </w:r>
          </w:p>
          <w:p w14:paraId="648641CA" w14:textId="77777777" w:rsidR="00AD7938" w:rsidRPr="00313E77" w:rsidRDefault="00AD7938" w:rsidP="009E3F7E">
            <w:pPr>
              <w:pStyle w:val="ACMasthead-SubjectLine"/>
              <w:rPr>
                <w:sz w:val="24"/>
              </w:rPr>
            </w:pPr>
          </w:p>
        </w:tc>
      </w:tr>
      <w:tr w:rsidR="00AD7938" w:rsidRPr="00AD7938" w14:paraId="4F95A92D" w14:textId="77777777" w:rsidTr="00FE01D3">
        <w:trPr>
          <w:cantSplit/>
          <w:trHeight w:val="27"/>
        </w:trPr>
        <w:tc>
          <w:tcPr>
            <w:tcW w:w="3941" w:type="dxa"/>
            <w:tcBorders>
              <w:top w:val="single" w:sz="8" w:space="0" w:color="auto"/>
            </w:tcBorders>
            <w:tcMar>
              <w:top w:w="115" w:type="dxa"/>
              <w:left w:w="115" w:type="dxa"/>
              <w:bottom w:w="115" w:type="dxa"/>
              <w:right w:w="115" w:type="dxa"/>
            </w:tcMar>
          </w:tcPr>
          <w:p w14:paraId="6F48F421" w14:textId="77777777" w:rsidR="00AD7938" w:rsidRPr="00AD7938" w:rsidRDefault="00AD7938" w:rsidP="00AD7938">
            <w:pPr>
              <w:pStyle w:val="ACMasthead-BottomLineRow"/>
              <w:rPr>
                <w:noProof/>
                <w:highlight w:val="yellow"/>
              </w:rPr>
            </w:pPr>
          </w:p>
        </w:tc>
        <w:tc>
          <w:tcPr>
            <w:tcW w:w="760" w:type="dxa"/>
          </w:tcPr>
          <w:p w14:paraId="5CCA8674" w14:textId="77777777" w:rsidR="00AD7938" w:rsidRPr="00AD7938" w:rsidRDefault="00AD7938" w:rsidP="00AD7938">
            <w:pPr>
              <w:pStyle w:val="ACMasthead-BottomLineRow"/>
              <w:rPr>
                <w:noProof/>
                <w:highlight w:val="yellow"/>
              </w:rPr>
            </w:pPr>
          </w:p>
        </w:tc>
        <w:tc>
          <w:tcPr>
            <w:tcW w:w="4774" w:type="dxa"/>
            <w:gridSpan w:val="2"/>
            <w:tcMar>
              <w:top w:w="115" w:type="dxa"/>
              <w:left w:w="115" w:type="dxa"/>
              <w:bottom w:w="115" w:type="dxa"/>
              <w:right w:w="115" w:type="dxa"/>
            </w:tcMar>
          </w:tcPr>
          <w:p w14:paraId="609502B4" w14:textId="77777777" w:rsidR="00AD7938" w:rsidRPr="00AD7938" w:rsidRDefault="00AD7938" w:rsidP="00AD7938">
            <w:pPr>
              <w:pStyle w:val="ACMasthead-BottomLineRow"/>
              <w:rPr>
                <w:highlight w:val="yellow"/>
              </w:rPr>
            </w:pPr>
          </w:p>
        </w:tc>
      </w:tr>
    </w:tbl>
    <w:p w14:paraId="3B8811DE" w14:textId="379A96E5" w:rsidR="006C4FD9" w:rsidRDefault="006C4FD9" w:rsidP="0099285B">
      <w:pPr>
        <w:pStyle w:val="Heading1"/>
        <w:numPr>
          <w:ilvl w:val="0"/>
          <w:numId w:val="7"/>
        </w:numPr>
        <w:tabs>
          <w:tab w:val="clear" w:pos="864"/>
        </w:tabs>
        <w:ind w:left="900" w:hanging="900"/>
      </w:pPr>
      <w:bookmarkStart w:id="0" w:name="_Toc399252483"/>
      <w:bookmarkStart w:id="1" w:name="_Toc379476375"/>
      <w:bookmarkStart w:id="2" w:name="_Toc365654074"/>
      <w:bookmarkStart w:id="3" w:name="_Toc365366325"/>
      <w:bookmarkStart w:id="4" w:name="_Toc365364003"/>
      <w:bookmarkStart w:id="5" w:name="_Toc365363630"/>
      <w:bookmarkStart w:id="6" w:name="_Toc365025633"/>
      <w:bookmarkStart w:id="7" w:name="_Toc364955697"/>
      <w:bookmarkStart w:id="8" w:name="_Toc361414142"/>
      <w:bookmarkStart w:id="9" w:name="_Ref365375556"/>
      <w:bookmarkStart w:id="10" w:name="_Ref365375516"/>
      <w:bookmarkStart w:id="11" w:name="_Toc365375423"/>
      <w:bookmarkStart w:id="12" w:name="_Toc341278699"/>
      <w:bookmarkStart w:id="13" w:name="_Ref339566642"/>
      <w:r>
        <w:t>PURPOSE.</w:t>
      </w:r>
    </w:p>
    <w:p w14:paraId="6E22486A" w14:textId="033FC4B0" w:rsidR="00473B14" w:rsidRDefault="006C4FD9" w:rsidP="00637F7C">
      <w:pPr>
        <w:pStyle w:val="Heading2"/>
      </w:pPr>
      <w:r>
        <w:t>T</w:t>
      </w:r>
      <w:r w:rsidRPr="00B3305A">
        <w:t xml:space="preserve">his </w:t>
      </w:r>
      <w:r w:rsidR="000A0138">
        <w:t>advisory circular (</w:t>
      </w:r>
      <w:r>
        <w:t>AC</w:t>
      </w:r>
      <w:r w:rsidR="000A0138">
        <w:t>)</w:t>
      </w:r>
      <w:r w:rsidR="00204F98">
        <w:t xml:space="preserve"> </w:t>
      </w:r>
      <w:r>
        <w:t xml:space="preserve">describes </w:t>
      </w:r>
      <w:r w:rsidR="0042217B">
        <w:t>c</w:t>
      </w:r>
      <w:r w:rsidR="0042217B" w:rsidRPr="001C786D">
        <w:t xml:space="preserve">ontinued </w:t>
      </w:r>
      <w:r w:rsidR="0042217B">
        <w:t>a</w:t>
      </w:r>
      <w:r w:rsidR="0042217B" w:rsidRPr="001C786D">
        <w:t xml:space="preserve">irworthiness </w:t>
      </w:r>
      <w:r w:rsidR="0042217B">
        <w:t>a</w:t>
      </w:r>
      <w:r w:rsidR="0042217B" w:rsidRPr="001C786D">
        <w:t xml:space="preserve">ssessment </w:t>
      </w:r>
      <w:r w:rsidR="0042217B">
        <w:t>m</w:t>
      </w:r>
      <w:r w:rsidR="0042217B" w:rsidRPr="001C786D">
        <w:t xml:space="preserve">ethodologies </w:t>
      </w:r>
      <w:r w:rsidR="000A0138" w:rsidRPr="001C786D">
        <w:t>(CAAM)</w:t>
      </w:r>
      <w:r w:rsidR="008A2368">
        <w:t xml:space="preserve"> </w:t>
      </w:r>
      <w:r w:rsidR="002026FF">
        <w:t xml:space="preserve">that </w:t>
      </w:r>
      <w:r w:rsidR="00E83308">
        <w:t>may be</w:t>
      </w:r>
      <w:r w:rsidR="00193C9B">
        <w:t xml:space="preserve"> </w:t>
      </w:r>
      <w:r w:rsidR="00193C9B" w:rsidRPr="00AB2F72">
        <w:t xml:space="preserve">used for </w:t>
      </w:r>
      <w:r w:rsidR="00193C9B" w:rsidRPr="008B14B0">
        <w:t>products</w:t>
      </w:r>
      <w:r w:rsidR="00193C9B" w:rsidRPr="00AB2F72">
        <w:t xml:space="preserve"> associated with the </w:t>
      </w:r>
      <w:r w:rsidR="0042217B">
        <w:t>p</w:t>
      </w:r>
      <w:r w:rsidR="00193C9B" w:rsidRPr="00AB2F72">
        <w:t xml:space="preserve">owerplant or </w:t>
      </w:r>
      <w:r w:rsidR="0042217B">
        <w:t>a</w:t>
      </w:r>
      <w:r w:rsidR="00193C9B" w:rsidRPr="00AB2F72">
        <w:t xml:space="preserve">uxiliary </w:t>
      </w:r>
      <w:r w:rsidR="0042217B">
        <w:t>p</w:t>
      </w:r>
      <w:r w:rsidR="00193C9B" w:rsidRPr="00AB2F72">
        <w:t xml:space="preserve">ower </w:t>
      </w:r>
      <w:r w:rsidR="0042217B">
        <w:t>u</w:t>
      </w:r>
      <w:r w:rsidR="00193C9B" w:rsidRPr="00AB2F72">
        <w:t xml:space="preserve">nit (APU) </w:t>
      </w:r>
      <w:r w:rsidR="0042217B">
        <w:t>i</w:t>
      </w:r>
      <w:r w:rsidR="00193C9B" w:rsidRPr="00AB2F72">
        <w:t xml:space="preserve">nstallations on </w:t>
      </w:r>
      <w:r w:rsidR="0042217B">
        <w:t>t</w:t>
      </w:r>
      <w:r w:rsidR="00193C9B" w:rsidRPr="00AB2F72">
        <w:t xml:space="preserve">ransport </w:t>
      </w:r>
      <w:r w:rsidR="0042217B">
        <w:t>c</w:t>
      </w:r>
      <w:r w:rsidR="00193C9B" w:rsidRPr="00AB2F72">
        <w:t xml:space="preserve">ategory </w:t>
      </w:r>
      <w:r w:rsidR="0042217B">
        <w:t>a</w:t>
      </w:r>
      <w:r w:rsidR="00193C9B" w:rsidRPr="00AB2F72">
        <w:t>irplanes.</w:t>
      </w:r>
      <w:r w:rsidR="00E442E7">
        <w:t xml:space="preserve"> </w:t>
      </w:r>
      <w:r w:rsidR="003368C9">
        <w:t xml:space="preserve">It </w:t>
      </w:r>
      <w:r w:rsidR="003368C9" w:rsidRPr="00193C9B">
        <w:t>provides guidance for</w:t>
      </w:r>
      <w:r w:rsidR="00D60BB5">
        <w:t xml:space="preserve"> e</w:t>
      </w:r>
      <w:r w:rsidR="003368C9" w:rsidRPr="00193C9B">
        <w:t xml:space="preserve">stimating the risks associated with </w:t>
      </w:r>
      <w:r w:rsidR="003368C9" w:rsidRPr="00E442E7">
        <w:t>identified</w:t>
      </w:r>
      <w:r w:rsidR="003368C9" w:rsidRPr="00193C9B">
        <w:t xml:space="preserve"> unsafe conditions</w:t>
      </w:r>
      <w:r w:rsidR="00D60BB5">
        <w:t xml:space="preserve">; </w:t>
      </w:r>
      <w:r w:rsidR="008B14B0">
        <w:t xml:space="preserve">for </w:t>
      </w:r>
      <w:r w:rsidR="00D60BB5">
        <w:t>defining</w:t>
      </w:r>
      <w:r w:rsidR="003368C9">
        <w:t xml:space="preserve">, prioritizing, and selecting suitable corrective actions for all </w:t>
      </w:r>
      <w:r w:rsidR="003368C9" w:rsidRPr="00E442E7">
        <w:t>identified</w:t>
      </w:r>
      <w:r w:rsidR="003368C9">
        <w:t xml:space="preserve"> unsafe conditions</w:t>
      </w:r>
      <w:r w:rsidR="00D60BB5">
        <w:t>;</w:t>
      </w:r>
      <w:r w:rsidR="003368C9">
        <w:t xml:space="preserve"> and</w:t>
      </w:r>
      <w:r w:rsidR="00D60BB5">
        <w:t xml:space="preserve"> </w:t>
      </w:r>
      <w:r w:rsidR="008B14B0">
        <w:t xml:space="preserve">for </w:t>
      </w:r>
      <w:r w:rsidR="00D60BB5">
        <w:t xml:space="preserve">verifying </w:t>
      </w:r>
      <w:r w:rsidR="003368C9">
        <w:t xml:space="preserve">that the corrective actions </w:t>
      </w:r>
      <w:r w:rsidR="006A06BD">
        <w:t>are</w:t>
      </w:r>
      <w:r w:rsidR="003368C9">
        <w:t xml:space="preserve"> effective.</w:t>
      </w:r>
    </w:p>
    <w:p w14:paraId="1714E13C" w14:textId="4AADF786" w:rsidR="00926E45" w:rsidRDefault="009C0E86" w:rsidP="0054029B">
      <w:pPr>
        <w:pStyle w:val="Heading2"/>
      </w:pPr>
      <w:r>
        <w:t>The Federal Aviation Administration (FAA) may use these CAAM to identify unsafe conditions and make decisions concerning the priority in which unsafe conditions should be addressed. Continued airworthiness requires that safety concerns within the existing fleet are addressed and the knowledge gained is applied for the benefit of future fleets.</w:t>
      </w:r>
    </w:p>
    <w:p w14:paraId="0E7817DE" w14:textId="7E65810E" w:rsidR="009C0E86" w:rsidRDefault="00343213" w:rsidP="003F4311">
      <w:pPr>
        <w:pStyle w:val="Levels1-3-Note"/>
      </w:pPr>
      <w:r>
        <w:t xml:space="preserve"> </w:t>
      </w:r>
      <w:r w:rsidR="009C0E86">
        <w:t>This AC does not establish, nor is it intended to imply, wait for, or accept the findings of a design approval holder’s risk assessment, before issuing an airworthiness directive (AD). The FAA may issue an AD addressing a particular unsafe condition before a formal risk assessment is performed.</w:t>
      </w:r>
    </w:p>
    <w:p w14:paraId="0F4578B9" w14:textId="5CC6C193" w:rsidR="009C0E86" w:rsidRDefault="004612F3" w:rsidP="00637F7C">
      <w:pPr>
        <w:pStyle w:val="Heading2"/>
      </w:pPr>
      <w:r w:rsidRPr="004612F3">
        <w:t>This AC describes the CAAM processes that may be used to identify unsafe conditions and determine when an unsafe condition is likely to exist or develop in other products of the same type design in accordance with 14 CFR part 39</w:t>
      </w:r>
      <w:r>
        <w:t>.</w:t>
      </w:r>
    </w:p>
    <w:p w14:paraId="54A36499" w14:textId="77777777" w:rsidR="006C4FD9" w:rsidRPr="009978C4" w:rsidRDefault="006C4FD9" w:rsidP="00AB2F72">
      <w:pPr>
        <w:pStyle w:val="Heading1"/>
        <w:rPr>
          <w:rStyle w:val="Lead-in-Bold"/>
          <w:b/>
          <w:szCs w:val="24"/>
        </w:rPr>
      </w:pPr>
      <w:r w:rsidRPr="00126D5F">
        <w:t>APPLICABILITY.</w:t>
      </w:r>
    </w:p>
    <w:p w14:paraId="1B572683" w14:textId="3FC0B688" w:rsidR="006C4FD9" w:rsidRPr="006F0E5E" w:rsidRDefault="00313E77" w:rsidP="009D086C">
      <w:pPr>
        <w:pStyle w:val="Heading2"/>
        <w:numPr>
          <w:ilvl w:val="1"/>
          <w:numId w:val="7"/>
        </w:numPr>
      </w:pPr>
      <w:r w:rsidRPr="006F0E5E">
        <w:t xml:space="preserve">The guidance </w:t>
      </w:r>
      <w:r w:rsidR="00E030D9">
        <w:t xml:space="preserve">provided </w:t>
      </w:r>
      <w:r w:rsidRPr="006F0E5E">
        <w:t xml:space="preserve">in this AC is for </w:t>
      </w:r>
      <w:r w:rsidR="00581463">
        <w:t>airplane</w:t>
      </w:r>
      <w:r w:rsidR="00581463" w:rsidRPr="006F0E5E">
        <w:t xml:space="preserve"> </w:t>
      </w:r>
      <w:r w:rsidRPr="006F0E5E">
        <w:t xml:space="preserve">engine manufacturers, modifiers, </w:t>
      </w:r>
      <w:r w:rsidR="001B138E" w:rsidRPr="006F0E5E">
        <w:t>foreign authorities, FAA</w:t>
      </w:r>
      <w:r w:rsidRPr="006F0E5E">
        <w:t xml:space="preserve"> engine type</w:t>
      </w:r>
      <w:r w:rsidR="00E442E7">
        <w:t xml:space="preserve"> </w:t>
      </w:r>
      <w:r w:rsidRPr="006F0E5E">
        <w:t xml:space="preserve">certification engineers, </w:t>
      </w:r>
      <w:r w:rsidR="00AB56A6">
        <w:t xml:space="preserve">FAA inspectors, </w:t>
      </w:r>
      <w:r w:rsidRPr="006F0E5E">
        <w:t>and FAA designees</w:t>
      </w:r>
      <w:r w:rsidR="00D54939">
        <w:t xml:space="preserve">; </w:t>
      </w:r>
      <w:r w:rsidR="00804EE3">
        <w:t xml:space="preserve">and they are collectively referred </w:t>
      </w:r>
      <w:r w:rsidR="003D737D">
        <w:t xml:space="preserve">to </w:t>
      </w:r>
      <w:r w:rsidR="00804EE3">
        <w:t>as stakeholders in this AC.</w:t>
      </w:r>
    </w:p>
    <w:p w14:paraId="1F46D136" w14:textId="02D39333" w:rsidR="00E030D9" w:rsidRDefault="00E030D9" w:rsidP="00E030D9">
      <w:pPr>
        <w:pStyle w:val="Heading2"/>
        <w:numPr>
          <w:ilvl w:val="1"/>
          <w:numId w:val="7"/>
        </w:numPr>
      </w:pPr>
      <w:r>
        <w:lastRenderedPageBreak/>
        <w:t xml:space="preserve">The contents of this AC do not have the force and effect of law and are not meant to bind the public in any way. This AC is intended only to provide information to the public regarding existing requirements under the law or agency policies. Conformity with the guidance is voluntary only and nonconformity will not affect rights and obligations under existing statutes and regulations. The FAA will consider other methods of demonstrating compliance that an applicant may elect to present. Terms such as “should,” “may,” and “must” are used only in the sense of ensuring applicability of this </w:t>
      </w:r>
      <w:proofErr w:type="gramStart"/>
      <w:r>
        <w:t>particular method</w:t>
      </w:r>
      <w:proofErr w:type="gramEnd"/>
      <w:r>
        <w:t xml:space="preserve"> of compliance when the acceptable method of compliance in this document is used. If the FAA becomes aware of circumstances in which following this AC would not result in compliance with the applicable regulations, the FAA may require additional substantiation as the basis for finding compliance.</w:t>
      </w:r>
    </w:p>
    <w:p w14:paraId="7AD4C99F" w14:textId="6E4079C4" w:rsidR="00E030D9" w:rsidRDefault="00E030D9" w:rsidP="00E030D9">
      <w:pPr>
        <w:pStyle w:val="Heading2"/>
        <w:numPr>
          <w:ilvl w:val="1"/>
          <w:numId w:val="7"/>
        </w:numPr>
      </w:pPr>
      <w:r>
        <w:t>This material does not change or create any additional regulatory requirements or authorize changes in or permit deviations from existing regulatory requirements.</w:t>
      </w:r>
    </w:p>
    <w:p w14:paraId="7E6F82CA" w14:textId="77777777" w:rsidR="001B138E" w:rsidRDefault="001B138E" w:rsidP="001B138E">
      <w:pPr>
        <w:pStyle w:val="Heading1"/>
      </w:pPr>
      <w:r w:rsidRPr="001B138E">
        <w:t>Cancellation.</w:t>
      </w:r>
    </w:p>
    <w:p w14:paraId="16F9886E" w14:textId="77777777" w:rsidR="001B138E" w:rsidRDefault="001B138E" w:rsidP="001B138E">
      <w:pPr>
        <w:pStyle w:val="Levels1-3-OneParagraphUnderHeading"/>
      </w:pPr>
      <w:r>
        <w:t xml:space="preserve">This AC cancels AC 39-8, </w:t>
      </w:r>
      <w:r w:rsidRPr="00D410C0">
        <w:rPr>
          <w:rStyle w:val="TitleReferenceitalics"/>
        </w:rPr>
        <w:t>Continued Airworthiness Assessments of Powerplant and Auxiliary Power Unit Installations on Transport Category Airplanes,</w:t>
      </w:r>
      <w:r>
        <w:t xml:space="preserve"> dated September 08, 2003.</w:t>
      </w:r>
    </w:p>
    <w:p w14:paraId="58CF4B59" w14:textId="77777777" w:rsidR="006C4FD9" w:rsidRDefault="006C4FD9" w:rsidP="0099285B">
      <w:pPr>
        <w:pStyle w:val="Heading1"/>
        <w:numPr>
          <w:ilvl w:val="0"/>
          <w:numId w:val="7"/>
        </w:numPr>
        <w:tabs>
          <w:tab w:val="clear" w:pos="864"/>
        </w:tabs>
        <w:ind w:left="900" w:hanging="900"/>
      </w:pPr>
      <w:r w:rsidRPr="00B92088">
        <w:t>RELATED READING MATERIAL.</w:t>
      </w:r>
    </w:p>
    <w:p w14:paraId="0FC0E934" w14:textId="77777777" w:rsidR="006C4FD9" w:rsidRDefault="00BD647D" w:rsidP="00431203">
      <w:pPr>
        <w:pStyle w:val="Heading2"/>
        <w:rPr>
          <w:rStyle w:val="Lead-in-Bold"/>
        </w:rPr>
      </w:pPr>
      <w:r>
        <w:rPr>
          <w:rStyle w:val="Lead-in-Bold"/>
        </w:rPr>
        <w:t xml:space="preserve">14 CFR </w:t>
      </w:r>
      <w:r w:rsidR="00080015">
        <w:rPr>
          <w:rStyle w:val="Lead-in-Bold"/>
        </w:rPr>
        <w:t>Regulations</w:t>
      </w:r>
      <w:r w:rsidR="006C4FD9">
        <w:rPr>
          <w:rStyle w:val="Lead-in-Bold"/>
        </w:rPr>
        <w:t>.</w:t>
      </w:r>
    </w:p>
    <w:p w14:paraId="1E88D0B7" w14:textId="52586855" w:rsidR="00E214A0" w:rsidRPr="00E214A0" w:rsidRDefault="00E214A0" w:rsidP="003F4311">
      <w:pPr>
        <w:pStyle w:val="Levels1-3-OneParagraphUnderHeading"/>
        <w:rPr>
          <w:rStyle w:val="Lead-in-Bold"/>
          <w:b w:val="0"/>
          <w:szCs w:val="24"/>
        </w:rPr>
      </w:pPr>
      <w:r w:rsidRPr="00E214A0">
        <w:rPr>
          <w:rStyle w:val="Lead-in-Bold"/>
          <w:b w:val="0"/>
          <w:szCs w:val="24"/>
        </w:rPr>
        <w:t>The following 14 CFR regulations are related to this AC. You can download the full text of these regulations from the Federal Register website at www.ecfr.gov.</w:t>
      </w:r>
    </w:p>
    <w:p w14:paraId="76BF3306" w14:textId="77777777" w:rsidR="004638AA" w:rsidRPr="00F82334" w:rsidRDefault="00BD647D" w:rsidP="001B138E">
      <w:pPr>
        <w:pStyle w:val="Levels1-3-Bullet"/>
        <w:rPr>
          <w:rStyle w:val="TitleReferenceitalics"/>
          <w:i w:val="0"/>
        </w:rPr>
      </w:pPr>
      <w:r>
        <w:t>Part</w:t>
      </w:r>
      <w:r w:rsidR="001E26C6">
        <w:t xml:space="preserve"> </w:t>
      </w:r>
      <w:r w:rsidR="004638AA">
        <w:t xml:space="preserve">25, </w:t>
      </w:r>
      <w:r w:rsidR="004638AA" w:rsidRPr="00205312">
        <w:rPr>
          <w:rStyle w:val="TitleReferenceitalics"/>
        </w:rPr>
        <w:t xml:space="preserve">Airworthiness </w:t>
      </w:r>
      <w:r w:rsidR="00DC487C">
        <w:rPr>
          <w:rStyle w:val="TitleReferenceitalics"/>
        </w:rPr>
        <w:t>s</w:t>
      </w:r>
      <w:r w:rsidR="004638AA" w:rsidRPr="00205312">
        <w:rPr>
          <w:rStyle w:val="TitleReferenceitalics"/>
        </w:rPr>
        <w:t xml:space="preserve">tandards: Transport </w:t>
      </w:r>
      <w:r w:rsidR="00DC487C">
        <w:rPr>
          <w:rStyle w:val="TitleReferenceitalics"/>
        </w:rPr>
        <w:t>c</w:t>
      </w:r>
      <w:r w:rsidR="004638AA" w:rsidRPr="00205312">
        <w:rPr>
          <w:rStyle w:val="TitleReferenceitalics"/>
        </w:rPr>
        <w:t xml:space="preserve">ategory </w:t>
      </w:r>
      <w:r w:rsidR="00DC487C">
        <w:rPr>
          <w:rStyle w:val="TitleReferenceitalics"/>
        </w:rPr>
        <w:t>a</w:t>
      </w:r>
      <w:r w:rsidR="004638AA" w:rsidRPr="00205312">
        <w:rPr>
          <w:rStyle w:val="TitleReferenceitalics"/>
        </w:rPr>
        <w:t>irplanes</w:t>
      </w:r>
      <w:r w:rsidR="004638AA" w:rsidRPr="00F82334">
        <w:rPr>
          <w:rStyle w:val="TitleReferenceitalics"/>
          <w:i w:val="0"/>
        </w:rPr>
        <w:t>.</w:t>
      </w:r>
    </w:p>
    <w:p w14:paraId="201563CB" w14:textId="77777777" w:rsidR="007849E7" w:rsidRDefault="00BD647D" w:rsidP="001B138E">
      <w:pPr>
        <w:pStyle w:val="Levels1-3-Bullet"/>
        <w:rPr>
          <w:rStyle w:val="TitleReferenceitalics"/>
          <w:i w:val="0"/>
        </w:rPr>
      </w:pPr>
      <w:r w:rsidRPr="0062629F">
        <w:rPr>
          <w:rStyle w:val="TitleReferenceitalics"/>
          <w:i w:val="0"/>
        </w:rPr>
        <w:t>Part</w:t>
      </w:r>
      <w:r w:rsidR="007849E7" w:rsidRPr="0062629F">
        <w:rPr>
          <w:rStyle w:val="TitleReferenceitalics"/>
          <w:i w:val="0"/>
        </w:rPr>
        <w:t xml:space="preserve"> 33</w:t>
      </w:r>
      <w:r w:rsidR="007849E7">
        <w:rPr>
          <w:rStyle w:val="TitleReferenceitalics"/>
        </w:rPr>
        <w:t xml:space="preserve">, Airworthiness </w:t>
      </w:r>
      <w:r w:rsidR="00DC487C">
        <w:rPr>
          <w:rStyle w:val="TitleReferenceitalics"/>
        </w:rPr>
        <w:t>s</w:t>
      </w:r>
      <w:r w:rsidR="007849E7">
        <w:rPr>
          <w:rStyle w:val="TitleReferenceitalics"/>
        </w:rPr>
        <w:t xml:space="preserve">tandards: Aircraft </w:t>
      </w:r>
      <w:r w:rsidR="00DC487C">
        <w:rPr>
          <w:rStyle w:val="TitleReferenceitalics"/>
        </w:rPr>
        <w:t>e</w:t>
      </w:r>
      <w:r w:rsidR="007849E7">
        <w:rPr>
          <w:rStyle w:val="TitleReferenceitalics"/>
        </w:rPr>
        <w:t>ngines</w:t>
      </w:r>
      <w:r w:rsidR="00F82334" w:rsidRPr="00F82334">
        <w:rPr>
          <w:rStyle w:val="TitleReferenceitalics"/>
          <w:i w:val="0"/>
        </w:rPr>
        <w:t>.</w:t>
      </w:r>
    </w:p>
    <w:p w14:paraId="6FA22AE6" w14:textId="77777777" w:rsidR="002E0CD2" w:rsidRDefault="002E0CD2" w:rsidP="001B138E">
      <w:pPr>
        <w:pStyle w:val="Levels1-3-Bullet"/>
      </w:pPr>
      <w:r>
        <w:rPr>
          <w:rStyle w:val="TitleReferenceitalics"/>
          <w:i w:val="0"/>
        </w:rPr>
        <w:t xml:space="preserve">Part 35, </w:t>
      </w:r>
      <w:r w:rsidRPr="0016459A">
        <w:rPr>
          <w:rStyle w:val="TitleReferenceitalics"/>
        </w:rPr>
        <w:t xml:space="preserve">Airworthiness </w:t>
      </w:r>
      <w:r w:rsidR="00DC487C">
        <w:rPr>
          <w:rStyle w:val="TitleReferenceitalics"/>
        </w:rPr>
        <w:t>s</w:t>
      </w:r>
      <w:r w:rsidRPr="0016459A">
        <w:rPr>
          <w:rStyle w:val="TitleReferenceitalics"/>
        </w:rPr>
        <w:t>tandards: Propellers</w:t>
      </w:r>
      <w:r w:rsidR="0010667F">
        <w:rPr>
          <w:rStyle w:val="TitleReferenceitalics"/>
        </w:rPr>
        <w:t>.</w:t>
      </w:r>
    </w:p>
    <w:p w14:paraId="3B54B6B0" w14:textId="77777777" w:rsidR="001B138E" w:rsidRDefault="00BD647D" w:rsidP="001B138E">
      <w:pPr>
        <w:pStyle w:val="Levels1-3-Bullet"/>
      </w:pPr>
      <w:r>
        <w:t>Part</w:t>
      </w:r>
      <w:r w:rsidR="001E26C6">
        <w:t xml:space="preserve"> </w:t>
      </w:r>
      <w:r w:rsidR="001B138E" w:rsidRPr="00E168BC">
        <w:t xml:space="preserve">39, </w:t>
      </w:r>
      <w:r w:rsidR="001B138E" w:rsidRPr="00E168BC">
        <w:rPr>
          <w:rStyle w:val="TitleReferenceitalics"/>
        </w:rPr>
        <w:t xml:space="preserve">Airworthiness </w:t>
      </w:r>
      <w:r w:rsidR="00AF58D9">
        <w:rPr>
          <w:rStyle w:val="TitleReferenceitalics"/>
        </w:rPr>
        <w:t>d</w:t>
      </w:r>
      <w:r w:rsidR="001B138E" w:rsidRPr="00E168BC">
        <w:rPr>
          <w:rStyle w:val="TitleReferenceitalics"/>
        </w:rPr>
        <w:t>irectives</w:t>
      </w:r>
      <w:r w:rsidR="001B138E" w:rsidRPr="00E168BC">
        <w:t>.</w:t>
      </w:r>
    </w:p>
    <w:p w14:paraId="3BF13E9A" w14:textId="77777777" w:rsidR="00BD647D" w:rsidRDefault="00BD647D" w:rsidP="001B138E">
      <w:pPr>
        <w:pStyle w:val="Levels1-3-Bullet"/>
      </w:pPr>
      <w:r>
        <w:t xml:space="preserve">Part 91, </w:t>
      </w:r>
      <w:r w:rsidRPr="0062629F">
        <w:rPr>
          <w:rStyle w:val="TitleReferenceitalics"/>
        </w:rPr>
        <w:t xml:space="preserve">General </w:t>
      </w:r>
      <w:r w:rsidR="00AF58D9">
        <w:rPr>
          <w:rStyle w:val="TitleReferenceitalics"/>
        </w:rPr>
        <w:t>o</w:t>
      </w:r>
      <w:r w:rsidRPr="0062629F">
        <w:rPr>
          <w:rStyle w:val="TitleReferenceitalics"/>
        </w:rPr>
        <w:t xml:space="preserve">perating and </w:t>
      </w:r>
      <w:r w:rsidR="00AF58D9">
        <w:rPr>
          <w:rStyle w:val="TitleReferenceitalics"/>
        </w:rPr>
        <w:t>f</w:t>
      </w:r>
      <w:r w:rsidRPr="0062629F">
        <w:rPr>
          <w:rStyle w:val="TitleReferenceitalics"/>
        </w:rPr>
        <w:t xml:space="preserve">light </w:t>
      </w:r>
      <w:r w:rsidR="00AF58D9">
        <w:rPr>
          <w:rStyle w:val="TitleReferenceitalics"/>
        </w:rPr>
        <w:t>r</w:t>
      </w:r>
      <w:r w:rsidRPr="0062629F">
        <w:rPr>
          <w:rStyle w:val="TitleReferenceitalics"/>
        </w:rPr>
        <w:t>ules</w:t>
      </w:r>
      <w:r>
        <w:t>.</w:t>
      </w:r>
    </w:p>
    <w:p w14:paraId="30FB6A6B" w14:textId="77777777" w:rsidR="00BD647D" w:rsidRDefault="00BD647D" w:rsidP="001B138E">
      <w:pPr>
        <w:pStyle w:val="Levels1-3-Bullet"/>
      </w:pPr>
      <w:r>
        <w:t xml:space="preserve">Part 121, </w:t>
      </w:r>
      <w:r w:rsidRPr="0062629F">
        <w:rPr>
          <w:rStyle w:val="TitleReferenceitalics"/>
        </w:rPr>
        <w:t xml:space="preserve">Operating </w:t>
      </w:r>
      <w:r w:rsidR="004B66A0">
        <w:rPr>
          <w:rStyle w:val="TitleReferenceitalics"/>
        </w:rPr>
        <w:t>r</w:t>
      </w:r>
      <w:r w:rsidRPr="0062629F">
        <w:rPr>
          <w:rStyle w:val="TitleReferenceitalics"/>
        </w:rPr>
        <w:t xml:space="preserve">equirements: Domestic, </w:t>
      </w:r>
      <w:r w:rsidR="004B66A0">
        <w:rPr>
          <w:rStyle w:val="TitleReferenceitalics"/>
        </w:rPr>
        <w:t>f</w:t>
      </w:r>
      <w:r w:rsidRPr="0062629F">
        <w:rPr>
          <w:rStyle w:val="TitleReferenceitalics"/>
        </w:rPr>
        <w:t xml:space="preserve">lag, and </w:t>
      </w:r>
      <w:r w:rsidR="004B66A0">
        <w:rPr>
          <w:rStyle w:val="TitleReferenceitalics"/>
        </w:rPr>
        <w:t>s</w:t>
      </w:r>
      <w:r w:rsidRPr="0062629F">
        <w:rPr>
          <w:rStyle w:val="TitleReferenceitalics"/>
        </w:rPr>
        <w:t xml:space="preserve">upplemental </w:t>
      </w:r>
      <w:r w:rsidR="004B66A0">
        <w:rPr>
          <w:rStyle w:val="TitleReferenceitalics"/>
        </w:rPr>
        <w:t>o</w:t>
      </w:r>
      <w:r w:rsidRPr="0062629F">
        <w:rPr>
          <w:rStyle w:val="TitleReferenceitalics"/>
        </w:rPr>
        <w:t>perations</w:t>
      </w:r>
      <w:r>
        <w:t>.</w:t>
      </w:r>
    </w:p>
    <w:p w14:paraId="382E67DC" w14:textId="322A8CDD" w:rsidR="00BD647D" w:rsidRDefault="00BD647D" w:rsidP="001B138E">
      <w:pPr>
        <w:pStyle w:val="Levels1-3-Bullet"/>
      </w:pPr>
      <w:r>
        <w:t xml:space="preserve">Part 125, </w:t>
      </w:r>
      <w:r w:rsidRPr="0062629F">
        <w:rPr>
          <w:rStyle w:val="TitleReferenceitalics"/>
        </w:rPr>
        <w:t xml:space="preserve">Certification and </w:t>
      </w:r>
      <w:r w:rsidR="004B66A0">
        <w:rPr>
          <w:rStyle w:val="TitleReferenceitalics"/>
        </w:rPr>
        <w:t>o</w:t>
      </w:r>
      <w:r w:rsidRPr="0062629F">
        <w:rPr>
          <w:rStyle w:val="TitleReferenceitalics"/>
        </w:rPr>
        <w:t>perations: Air</w:t>
      </w:r>
      <w:r w:rsidR="000214B8">
        <w:rPr>
          <w:rStyle w:val="TitleReferenceitalics"/>
        </w:rPr>
        <w:t>craft</w:t>
      </w:r>
      <w:r w:rsidRPr="0062629F">
        <w:rPr>
          <w:rStyle w:val="TitleReferenceitalics"/>
        </w:rPr>
        <w:t xml:space="preserve"> </w:t>
      </w:r>
      <w:r w:rsidR="004B66A0">
        <w:rPr>
          <w:rStyle w:val="TitleReferenceitalics"/>
        </w:rPr>
        <w:t>h</w:t>
      </w:r>
      <w:r w:rsidRPr="0062629F">
        <w:rPr>
          <w:rStyle w:val="TitleReferenceitalics"/>
        </w:rPr>
        <w:t xml:space="preserve">aving a </w:t>
      </w:r>
      <w:r w:rsidR="004B66A0">
        <w:rPr>
          <w:rStyle w:val="TitleReferenceitalics"/>
        </w:rPr>
        <w:t>s</w:t>
      </w:r>
      <w:r w:rsidRPr="0062629F">
        <w:rPr>
          <w:rStyle w:val="TitleReferenceitalics"/>
        </w:rPr>
        <w:t xml:space="preserve">eating </w:t>
      </w:r>
      <w:r w:rsidR="000214B8">
        <w:rPr>
          <w:rStyle w:val="TitleReferenceitalics"/>
        </w:rPr>
        <w:t>c</w:t>
      </w:r>
      <w:r w:rsidRPr="0062629F">
        <w:rPr>
          <w:rStyle w:val="TitleReferenceitalics"/>
        </w:rPr>
        <w:t xml:space="preserve">apacity </w:t>
      </w:r>
      <w:r w:rsidR="005566A5" w:rsidRPr="0062629F">
        <w:rPr>
          <w:rStyle w:val="TitleReferenceitalics"/>
        </w:rPr>
        <w:t>of 20 o</w:t>
      </w:r>
      <w:r w:rsidRPr="0062629F">
        <w:rPr>
          <w:rStyle w:val="TitleReferenceitalics"/>
        </w:rPr>
        <w:t xml:space="preserve">r </w:t>
      </w:r>
      <w:r w:rsidR="004B66A0">
        <w:rPr>
          <w:rStyle w:val="TitleReferenceitalics"/>
        </w:rPr>
        <w:t>m</w:t>
      </w:r>
      <w:r w:rsidRPr="0062629F">
        <w:rPr>
          <w:rStyle w:val="TitleReferenceitalics"/>
        </w:rPr>
        <w:t>ore</w:t>
      </w:r>
      <w:r w:rsidR="004B66A0">
        <w:t xml:space="preserve"> </w:t>
      </w:r>
      <w:r w:rsidR="004B66A0" w:rsidRPr="002D5BEE">
        <w:rPr>
          <w:i/>
        </w:rPr>
        <w:t>passengers or a maximum payload capacity of 6,000 pounds or more; and rules governing persons on board such aircraft</w:t>
      </w:r>
      <w:r w:rsidR="008329B9" w:rsidRPr="002D5BEE">
        <w:rPr>
          <w:i/>
        </w:rPr>
        <w:t>.</w:t>
      </w:r>
    </w:p>
    <w:p w14:paraId="6753265B" w14:textId="77777777" w:rsidR="00BD647D" w:rsidRPr="00E168BC" w:rsidRDefault="00BD647D" w:rsidP="001B138E">
      <w:pPr>
        <w:pStyle w:val="Levels1-3-Bullet"/>
      </w:pPr>
      <w:r>
        <w:t xml:space="preserve">Part 135, </w:t>
      </w:r>
      <w:r w:rsidRPr="0062629F">
        <w:rPr>
          <w:rStyle w:val="TitleReferenceitalics"/>
        </w:rPr>
        <w:t xml:space="preserve">Operating Requirements: Commuter </w:t>
      </w:r>
      <w:r w:rsidR="005566A5" w:rsidRPr="0062629F">
        <w:rPr>
          <w:rStyle w:val="TitleReferenceitalics"/>
        </w:rPr>
        <w:t>a</w:t>
      </w:r>
      <w:r w:rsidRPr="0062629F">
        <w:rPr>
          <w:rStyle w:val="TitleReferenceitalics"/>
        </w:rPr>
        <w:t xml:space="preserve">nd </w:t>
      </w:r>
      <w:r w:rsidR="004B66A0">
        <w:rPr>
          <w:rStyle w:val="TitleReferenceitalics"/>
        </w:rPr>
        <w:t>o</w:t>
      </w:r>
      <w:r w:rsidRPr="0062629F">
        <w:rPr>
          <w:rStyle w:val="TitleReferenceitalics"/>
        </w:rPr>
        <w:t xml:space="preserve">n </w:t>
      </w:r>
      <w:r w:rsidR="004B66A0">
        <w:rPr>
          <w:rStyle w:val="TitleReferenceitalics"/>
        </w:rPr>
        <w:t>d</w:t>
      </w:r>
      <w:r w:rsidRPr="0062629F">
        <w:rPr>
          <w:rStyle w:val="TitleReferenceitalics"/>
        </w:rPr>
        <w:t xml:space="preserve">emand </w:t>
      </w:r>
      <w:r w:rsidR="004B66A0">
        <w:rPr>
          <w:rStyle w:val="TitleReferenceitalics"/>
        </w:rPr>
        <w:t>o</w:t>
      </w:r>
      <w:r w:rsidRPr="0062629F">
        <w:rPr>
          <w:rStyle w:val="TitleReferenceitalics"/>
        </w:rPr>
        <w:t xml:space="preserve">perations </w:t>
      </w:r>
      <w:r w:rsidR="005566A5" w:rsidRPr="0062629F">
        <w:rPr>
          <w:rStyle w:val="TitleReferenceitalics"/>
        </w:rPr>
        <w:t xml:space="preserve">and </w:t>
      </w:r>
      <w:r w:rsidR="004B66A0">
        <w:rPr>
          <w:rStyle w:val="TitleReferenceitalics"/>
        </w:rPr>
        <w:t>r</w:t>
      </w:r>
      <w:r w:rsidR="005566A5" w:rsidRPr="0062629F">
        <w:rPr>
          <w:rStyle w:val="TitleReferenceitalics"/>
        </w:rPr>
        <w:t xml:space="preserve">ules </w:t>
      </w:r>
      <w:r w:rsidR="004B66A0">
        <w:rPr>
          <w:rStyle w:val="TitleReferenceitalics"/>
        </w:rPr>
        <w:t>g</w:t>
      </w:r>
      <w:r w:rsidR="005566A5" w:rsidRPr="0062629F">
        <w:rPr>
          <w:rStyle w:val="TitleReferenceitalics"/>
        </w:rPr>
        <w:t xml:space="preserve">overning </w:t>
      </w:r>
      <w:r w:rsidR="004B66A0">
        <w:rPr>
          <w:rStyle w:val="TitleReferenceitalics"/>
        </w:rPr>
        <w:t>p</w:t>
      </w:r>
      <w:r w:rsidR="005566A5" w:rsidRPr="0062629F">
        <w:rPr>
          <w:rStyle w:val="TitleReferenceitalics"/>
        </w:rPr>
        <w:t>ersons on</w:t>
      </w:r>
      <w:r w:rsidRPr="0062629F">
        <w:rPr>
          <w:rStyle w:val="TitleReferenceitalics"/>
        </w:rPr>
        <w:t xml:space="preserve"> </w:t>
      </w:r>
      <w:r w:rsidR="004B66A0">
        <w:rPr>
          <w:rStyle w:val="TitleReferenceitalics"/>
        </w:rPr>
        <w:t>b</w:t>
      </w:r>
      <w:r w:rsidRPr="0062629F">
        <w:rPr>
          <w:rStyle w:val="TitleReferenceitalics"/>
        </w:rPr>
        <w:t xml:space="preserve">oard </w:t>
      </w:r>
      <w:r w:rsidR="004B66A0">
        <w:rPr>
          <w:rStyle w:val="TitleReferenceitalics"/>
        </w:rPr>
        <w:t>s</w:t>
      </w:r>
      <w:r w:rsidRPr="0062629F">
        <w:rPr>
          <w:rStyle w:val="TitleReferenceitalics"/>
        </w:rPr>
        <w:t xml:space="preserve">uch </w:t>
      </w:r>
      <w:r w:rsidR="004B66A0">
        <w:rPr>
          <w:rStyle w:val="TitleReferenceitalics"/>
        </w:rPr>
        <w:t>a</w:t>
      </w:r>
      <w:r w:rsidRPr="0062629F">
        <w:rPr>
          <w:rStyle w:val="TitleReferenceitalics"/>
        </w:rPr>
        <w:t>ircraft</w:t>
      </w:r>
      <w:r>
        <w:t>.</w:t>
      </w:r>
    </w:p>
    <w:p w14:paraId="21BF3293" w14:textId="71E647AB" w:rsidR="00403B46" w:rsidRDefault="00403B46" w:rsidP="0099285B">
      <w:pPr>
        <w:pStyle w:val="Levels1-3-Bullet"/>
        <w:numPr>
          <w:ilvl w:val="1"/>
          <w:numId w:val="7"/>
        </w:numPr>
        <w:tabs>
          <w:tab w:val="clear" w:pos="864"/>
        </w:tabs>
        <w:ind w:left="900" w:hanging="900"/>
        <w:rPr>
          <w:rStyle w:val="Lead-in-Bold"/>
        </w:rPr>
      </w:pPr>
      <w:r>
        <w:rPr>
          <w:rStyle w:val="Lead-in-Bold"/>
        </w:rPr>
        <w:t xml:space="preserve">FAA Policy Statements. </w:t>
      </w:r>
    </w:p>
    <w:p w14:paraId="7507C383" w14:textId="18405CB1" w:rsidR="00403B46" w:rsidRDefault="00403B46" w:rsidP="00403B46">
      <w:pPr>
        <w:pStyle w:val="Levels1-3-OneParagraphUnderHeading"/>
      </w:pPr>
      <w:r w:rsidRPr="00403B46">
        <w:rPr>
          <w:rStyle w:val="Lead-in-Bold"/>
          <w:b w:val="0"/>
          <w:szCs w:val="24"/>
        </w:rPr>
        <w:t xml:space="preserve">The following </w:t>
      </w:r>
      <w:r>
        <w:rPr>
          <w:rStyle w:val="Lead-in-Bold"/>
          <w:b w:val="0"/>
          <w:szCs w:val="24"/>
        </w:rPr>
        <w:t>policy statements</w:t>
      </w:r>
      <w:r w:rsidRPr="00403B46">
        <w:rPr>
          <w:rStyle w:val="Lead-in-Bold"/>
          <w:b w:val="0"/>
          <w:szCs w:val="24"/>
        </w:rPr>
        <w:t xml:space="preserve"> are related to the guidance in this AC. </w:t>
      </w:r>
      <w:r w:rsidRPr="00403B46">
        <w:t xml:space="preserve">The latest version of each policy statement referenced in this document is available on the </w:t>
      </w:r>
      <w:hyperlink r:id="rId12" w:history="1">
        <w:r w:rsidRPr="00403B46">
          <w:rPr>
            <w:color w:val="0000FF"/>
            <w:u w:val="single"/>
          </w:rPr>
          <w:t>Dynamic Regulatory System</w:t>
        </w:r>
      </w:hyperlink>
      <w:r w:rsidRPr="00403B46">
        <w:t>.</w:t>
      </w:r>
    </w:p>
    <w:p w14:paraId="0720FDC3" w14:textId="77777777" w:rsidR="00403B46" w:rsidRPr="00F82334" w:rsidRDefault="00403B46" w:rsidP="00403B46">
      <w:pPr>
        <w:pStyle w:val="Levels1-3-Bullet"/>
      </w:pPr>
      <w:r>
        <w:lastRenderedPageBreak/>
        <w:t xml:space="preserve">FAA Policy PS-ANE-2011-33-1, </w:t>
      </w:r>
      <w:r w:rsidRPr="0016459A">
        <w:t>Engine Reliability in Extended Operations (ETOPS) – Continued Operational Safety (COS) Assessments</w:t>
      </w:r>
      <w:r>
        <w:t>.</w:t>
      </w:r>
    </w:p>
    <w:p w14:paraId="1E945B2F" w14:textId="17B3E727" w:rsidR="00403B46" w:rsidRPr="00403B46" w:rsidRDefault="00403B46" w:rsidP="003F4311">
      <w:pPr>
        <w:pStyle w:val="Levels1-3-Bullet"/>
        <w:rPr>
          <w:rStyle w:val="Lead-in-Bold"/>
          <w:b w:val="0"/>
          <w:szCs w:val="24"/>
        </w:rPr>
      </w:pPr>
      <w:r>
        <w:t xml:space="preserve">FAA Policy PS-ANM-25-05, </w:t>
      </w:r>
      <w:r w:rsidRPr="00F82334">
        <w:t>Risk Assessment Methodology for Transport Category Airplanes.</w:t>
      </w:r>
    </w:p>
    <w:p w14:paraId="7BF35D2D" w14:textId="7DCB44FB" w:rsidR="006C4FD9" w:rsidRDefault="006C4FD9" w:rsidP="0099285B">
      <w:pPr>
        <w:pStyle w:val="Levels1-3-Bullet"/>
        <w:numPr>
          <w:ilvl w:val="1"/>
          <w:numId w:val="7"/>
        </w:numPr>
        <w:tabs>
          <w:tab w:val="clear" w:pos="864"/>
        </w:tabs>
        <w:ind w:left="900" w:hanging="900"/>
        <w:rPr>
          <w:rStyle w:val="Lead-in-Bold"/>
        </w:rPr>
      </w:pPr>
      <w:r w:rsidRPr="00B92088">
        <w:rPr>
          <w:rStyle w:val="Lead-in-Bold"/>
        </w:rPr>
        <w:t xml:space="preserve">FAA </w:t>
      </w:r>
      <w:r w:rsidR="00403B46">
        <w:rPr>
          <w:rStyle w:val="Lead-in-Bold"/>
        </w:rPr>
        <w:t>Order</w:t>
      </w:r>
      <w:r w:rsidRPr="00B92088">
        <w:rPr>
          <w:rStyle w:val="Lead-in-Bold"/>
        </w:rPr>
        <w:t>.</w:t>
      </w:r>
    </w:p>
    <w:p w14:paraId="7FA6B333" w14:textId="0F6A0098" w:rsidR="00612AFE" w:rsidRPr="00612AFE" w:rsidRDefault="00612AFE" w:rsidP="003F4311">
      <w:pPr>
        <w:pStyle w:val="Levels1-3-OneParagraphUnderHeading"/>
        <w:rPr>
          <w:rStyle w:val="Lead-in-Bold"/>
          <w:b w:val="0"/>
          <w:szCs w:val="24"/>
        </w:rPr>
      </w:pPr>
      <w:r>
        <w:rPr>
          <w:rStyle w:val="Lead-in-Bold"/>
          <w:b w:val="0"/>
          <w:szCs w:val="24"/>
        </w:rPr>
        <w:t>FAA Order</w:t>
      </w:r>
      <w:r w:rsidRPr="00612AFE">
        <w:rPr>
          <w:rStyle w:val="Lead-in-Bold"/>
          <w:b w:val="0"/>
          <w:szCs w:val="24"/>
        </w:rPr>
        <w:t xml:space="preserve"> </w:t>
      </w:r>
      <w:r>
        <w:rPr>
          <w:rStyle w:val="Lead-in-Bold"/>
          <w:b w:val="0"/>
          <w:szCs w:val="24"/>
        </w:rPr>
        <w:t>8110.107</w:t>
      </w:r>
      <w:r w:rsidRPr="00612AFE">
        <w:rPr>
          <w:rStyle w:val="Lead-in-Bold"/>
          <w:b w:val="0"/>
          <w:szCs w:val="24"/>
        </w:rPr>
        <w:t xml:space="preserve">, </w:t>
      </w:r>
      <w:r w:rsidRPr="007B20E1">
        <w:rPr>
          <w:rStyle w:val="TitleReferenceitalics"/>
        </w:rPr>
        <w:t>Monitor Safety/Analyze Data</w:t>
      </w:r>
      <w:r w:rsidRPr="00612AFE">
        <w:rPr>
          <w:rStyle w:val="Lead-in-Bold"/>
          <w:b w:val="0"/>
          <w:szCs w:val="24"/>
        </w:rPr>
        <w:t xml:space="preserve"> is related to the guidance in this AC. The latest version of each </w:t>
      </w:r>
      <w:r>
        <w:rPr>
          <w:rStyle w:val="Lead-in-Bold"/>
          <w:b w:val="0"/>
          <w:szCs w:val="24"/>
        </w:rPr>
        <w:t>order</w:t>
      </w:r>
      <w:r w:rsidRPr="00612AFE">
        <w:rPr>
          <w:rStyle w:val="Lead-in-Bold"/>
          <w:b w:val="0"/>
          <w:szCs w:val="24"/>
        </w:rPr>
        <w:t xml:space="preserve"> referenced in this document is available on the </w:t>
      </w:r>
      <w:hyperlink r:id="rId13" w:history="1">
        <w:r w:rsidRPr="00403B46">
          <w:rPr>
            <w:color w:val="0000FF"/>
            <w:u w:val="single"/>
          </w:rPr>
          <w:t>Dynamic Regulatory System</w:t>
        </w:r>
      </w:hyperlink>
      <w:r w:rsidRPr="00403B46">
        <w:t>.</w:t>
      </w:r>
    </w:p>
    <w:p w14:paraId="476AFAF8" w14:textId="53DCEAFC" w:rsidR="00403B46" w:rsidRDefault="00403B46" w:rsidP="0099285B">
      <w:pPr>
        <w:pStyle w:val="Levels1-3-Bullet"/>
        <w:numPr>
          <w:ilvl w:val="1"/>
          <w:numId w:val="7"/>
        </w:numPr>
        <w:tabs>
          <w:tab w:val="clear" w:pos="864"/>
        </w:tabs>
        <w:ind w:left="900" w:hanging="900"/>
        <w:rPr>
          <w:rStyle w:val="Lead-in-Bold"/>
        </w:rPr>
      </w:pPr>
      <w:r>
        <w:rPr>
          <w:rStyle w:val="Lead-in-Bold"/>
        </w:rPr>
        <w:t xml:space="preserve">FAA Manual. </w:t>
      </w:r>
    </w:p>
    <w:p w14:paraId="7533DDC4" w14:textId="4E7DF752" w:rsidR="00612AFE" w:rsidRPr="00612AFE" w:rsidRDefault="00612AFE" w:rsidP="003F4311">
      <w:pPr>
        <w:pStyle w:val="Levels1-3-OneParagraphUnderHeading"/>
        <w:rPr>
          <w:rStyle w:val="Lead-in-Bold"/>
          <w:b w:val="0"/>
          <w:szCs w:val="24"/>
        </w:rPr>
      </w:pPr>
      <w:r>
        <w:rPr>
          <w:rStyle w:val="Lead-in-Bold"/>
          <w:b w:val="0"/>
          <w:szCs w:val="24"/>
        </w:rPr>
        <w:t xml:space="preserve">FAA Manual </w:t>
      </w:r>
      <w:r w:rsidRPr="00612AFE">
        <w:rPr>
          <w:rStyle w:val="Lead-in-Bold"/>
          <w:b w:val="0"/>
          <w:szCs w:val="24"/>
        </w:rPr>
        <w:t xml:space="preserve">FAA-IR-M-8040.1, </w:t>
      </w:r>
      <w:r w:rsidRPr="0049722B">
        <w:rPr>
          <w:rStyle w:val="TitleReferenceitalics"/>
        </w:rPr>
        <w:t>Airworthiness Directives Manual</w:t>
      </w:r>
      <w:r w:rsidRPr="00612AFE">
        <w:rPr>
          <w:rStyle w:val="Lead-in-Bold"/>
          <w:b w:val="0"/>
          <w:szCs w:val="24"/>
        </w:rPr>
        <w:t xml:space="preserve"> is related to the guidance in this AC. The latest version of </w:t>
      </w:r>
      <w:r>
        <w:rPr>
          <w:rStyle w:val="Lead-in-Bold"/>
          <w:b w:val="0"/>
          <w:szCs w:val="24"/>
        </w:rPr>
        <w:t>this FAA Manual</w:t>
      </w:r>
      <w:r w:rsidRPr="00612AFE">
        <w:rPr>
          <w:rStyle w:val="Lead-in-Bold"/>
          <w:b w:val="0"/>
          <w:szCs w:val="24"/>
        </w:rPr>
        <w:t xml:space="preserve"> referenced in this document is available on</w:t>
      </w:r>
      <w:r w:rsidR="004E39DA">
        <w:rPr>
          <w:rStyle w:val="Lead-in-Bold"/>
          <w:b w:val="0"/>
          <w:szCs w:val="24"/>
        </w:rPr>
        <w:t xml:space="preserve"> the </w:t>
      </w:r>
      <w:hyperlink r:id="rId14" w:history="1">
        <w:r w:rsidR="004E39DA" w:rsidRPr="001302F0">
          <w:rPr>
            <w:rStyle w:val="Hyperlink"/>
          </w:rPr>
          <w:t>Orders and Notices</w:t>
        </w:r>
      </w:hyperlink>
      <w:r w:rsidR="001302F0">
        <w:rPr>
          <w:rStyle w:val="Lead-in-Bold"/>
          <w:b w:val="0"/>
          <w:szCs w:val="24"/>
        </w:rPr>
        <w:t>.</w:t>
      </w:r>
    </w:p>
    <w:p w14:paraId="1EFD9997" w14:textId="77777777" w:rsidR="006C4FD9" w:rsidRPr="00612C2C" w:rsidRDefault="00E2286A" w:rsidP="0099285B">
      <w:pPr>
        <w:pStyle w:val="Heading2"/>
        <w:numPr>
          <w:ilvl w:val="1"/>
          <w:numId w:val="7"/>
        </w:numPr>
        <w:rPr>
          <w:rStyle w:val="Lead-in-Bold"/>
        </w:rPr>
      </w:pPr>
      <w:r w:rsidRPr="00612C2C">
        <w:rPr>
          <w:rStyle w:val="Lead-in-Bold"/>
        </w:rPr>
        <w:t>Industry</w:t>
      </w:r>
      <w:r w:rsidR="00C81DE0" w:rsidRPr="00612C2C">
        <w:rPr>
          <w:rStyle w:val="Lead-in-Bold"/>
        </w:rPr>
        <w:t xml:space="preserve"> Publications</w:t>
      </w:r>
      <w:r w:rsidR="006C4FD9" w:rsidRPr="00612C2C">
        <w:rPr>
          <w:rStyle w:val="Lead-in-Bold"/>
        </w:rPr>
        <w:t>.</w:t>
      </w:r>
    </w:p>
    <w:p w14:paraId="01F9ED02" w14:textId="3C0B0861" w:rsidR="00D25C93" w:rsidRDefault="001957DF" w:rsidP="00D25C93">
      <w:pPr>
        <w:pStyle w:val="Levels1-3-OneParagraphUnderHeading"/>
        <w:rPr>
          <w:rFonts w:eastAsia="Calibri"/>
        </w:rPr>
      </w:pPr>
      <w:r w:rsidRPr="00B95D47">
        <w:rPr>
          <w:rFonts w:eastAsia="Calibri"/>
        </w:rPr>
        <w:t xml:space="preserve">The following publications from the </w:t>
      </w:r>
      <w:r w:rsidR="00F661F7">
        <w:rPr>
          <w:rFonts w:eastAsia="Calibri"/>
        </w:rPr>
        <w:t xml:space="preserve">Air Force Wright Aeronautical Laboratories (AFWAL), </w:t>
      </w:r>
      <w:r>
        <w:rPr>
          <w:rFonts w:eastAsia="Calibri"/>
        </w:rPr>
        <w:t xml:space="preserve">Aerospace Industries Association (AIA), </w:t>
      </w:r>
      <w:r w:rsidR="00F661F7">
        <w:t xml:space="preserve">and </w:t>
      </w:r>
      <w:r>
        <w:t>the</w:t>
      </w:r>
      <w:r w:rsidRPr="00B95D47">
        <w:t xml:space="preserve"> Society for Automotive Engineers (SAE)</w:t>
      </w:r>
      <w:r w:rsidR="00E60066">
        <w:t xml:space="preserve"> provide additional guidance</w:t>
      </w:r>
      <w:r w:rsidRPr="00B95D47">
        <w:rPr>
          <w:rFonts w:eastAsia="Calibri"/>
        </w:rPr>
        <w:t>.</w:t>
      </w:r>
    </w:p>
    <w:p w14:paraId="3BFF3851" w14:textId="74C02C7E" w:rsidR="00BF40A4" w:rsidRDefault="00BF40A4" w:rsidP="003F4311">
      <w:pPr>
        <w:pStyle w:val="Levels1-3-Note"/>
        <w:numPr>
          <w:ilvl w:val="0"/>
          <w:numId w:val="0"/>
        </w:numPr>
        <w:ind w:left="864"/>
        <w:rPr>
          <w:rFonts w:eastAsia="Calibri"/>
        </w:rPr>
      </w:pPr>
      <w:r w:rsidRPr="00216C9B">
        <w:rPr>
          <w:rFonts w:eastAsia="Calibri"/>
          <w:b/>
          <w:bCs/>
        </w:rPr>
        <w:t>Note:</w:t>
      </w:r>
      <w:r>
        <w:rPr>
          <w:rFonts w:eastAsia="Calibri"/>
        </w:rPr>
        <w:t xml:space="preserve"> T</w:t>
      </w:r>
      <w:r w:rsidRPr="00BF40A4">
        <w:rPr>
          <w:rFonts w:eastAsia="Calibri"/>
        </w:rPr>
        <w:t>he Air Force Wright Aeronautical Laboratories (AFWAL)</w:t>
      </w:r>
      <w:r>
        <w:rPr>
          <w:rFonts w:eastAsia="Calibri"/>
        </w:rPr>
        <w:t xml:space="preserve"> </w:t>
      </w:r>
      <w:r w:rsidR="003E475E">
        <w:rPr>
          <w:rFonts w:eastAsia="Calibri"/>
        </w:rPr>
        <w:t>was</w:t>
      </w:r>
      <w:r>
        <w:rPr>
          <w:rFonts w:eastAsia="Calibri"/>
        </w:rPr>
        <w:t xml:space="preserve"> merged into the Air Force Research Laboratory</w:t>
      </w:r>
    </w:p>
    <w:p w14:paraId="6C060D36" w14:textId="77777777" w:rsidR="001957DF" w:rsidRDefault="001957DF" w:rsidP="001957DF">
      <w:pPr>
        <w:pStyle w:val="Levels1-3-Bullet"/>
      </w:pPr>
      <w:r w:rsidRPr="00A661AE">
        <w:t xml:space="preserve">AFWAL-TR-83-2079, </w:t>
      </w:r>
      <w:r w:rsidRPr="000C1B7A">
        <w:rPr>
          <w:rStyle w:val="TitleReferenceitalics"/>
        </w:rPr>
        <w:t>Weibull Analysis Handbook</w:t>
      </w:r>
      <w:r w:rsidRPr="00A661AE">
        <w:t>.</w:t>
      </w:r>
    </w:p>
    <w:p w14:paraId="3F35C642" w14:textId="77777777" w:rsidR="00620003" w:rsidRDefault="00620003" w:rsidP="004A4270">
      <w:pPr>
        <w:pStyle w:val="Levels1-3-Bullet"/>
      </w:pPr>
      <w:r w:rsidRPr="000C4573">
        <w:t>AIA PC-342</w:t>
      </w:r>
      <w:r>
        <w:t xml:space="preserve">, </w:t>
      </w:r>
      <w:r w:rsidRPr="00103F62">
        <w:rPr>
          <w:rStyle w:val="TitleReferenceitalics"/>
        </w:rPr>
        <w:t>Initial Report on Propulsion System and APU Related Aircraft Safety Hazards</w:t>
      </w:r>
      <w:r>
        <w:t>.</w:t>
      </w:r>
    </w:p>
    <w:p w14:paraId="0D03A347" w14:textId="77777777" w:rsidR="000A6EAD" w:rsidRDefault="000A6EAD" w:rsidP="000A6EAD">
      <w:pPr>
        <w:pStyle w:val="Levels1-3-Bullet"/>
      </w:pPr>
      <w:r w:rsidRPr="000A6EAD">
        <w:t xml:space="preserve">AIA and AECMA Project Report on Propulsion System Malfunction </w:t>
      </w:r>
      <w:proofErr w:type="gramStart"/>
      <w:r w:rsidRPr="000A6EAD">
        <w:t>plus</w:t>
      </w:r>
      <w:proofErr w:type="gramEnd"/>
      <w:r w:rsidRPr="000A6EAD">
        <w:t xml:space="preserve"> Inappropriate Crew Response (PSM+ICR)</w:t>
      </w:r>
      <w:r w:rsidR="00B568C2">
        <w:t>.</w:t>
      </w:r>
    </w:p>
    <w:p w14:paraId="5F9B9157" w14:textId="77777777" w:rsidR="00620003" w:rsidRDefault="00620003" w:rsidP="007F0486">
      <w:pPr>
        <w:pStyle w:val="Levels1-3-Bullet"/>
      </w:pPr>
      <w:r w:rsidRPr="000C4573">
        <w:t>AIA PC-342</w:t>
      </w:r>
      <w:r>
        <w:t>-1</w:t>
      </w:r>
      <w:r w:rsidR="00AB3781">
        <w:t xml:space="preserve">, </w:t>
      </w:r>
      <w:r w:rsidR="007F0486" w:rsidRPr="00103F62">
        <w:rPr>
          <w:rStyle w:val="TitleReferenceitalics"/>
        </w:rPr>
        <w:t>Supplemental Report on Turbine Engine Rotor Uncontained Events</w:t>
      </w:r>
      <w:r w:rsidR="007F0486">
        <w:t>.</w:t>
      </w:r>
    </w:p>
    <w:p w14:paraId="6E23996F" w14:textId="77777777" w:rsidR="00A76F56" w:rsidRDefault="00A76F56" w:rsidP="00A76F56">
      <w:pPr>
        <w:pStyle w:val="Levels1-3-Bullet"/>
      </w:pPr>
      <w:r w:rsidRPr="00A661AE">
        <w:t xml:space="preserve">SAE ARP 4754A, </w:t>
      </w:r>
      <w:r w:rsidRPr="000C1B7A">
        <w:rPr>
          <w:rStyle w:val="TitleReferenceitalics"/>
        </w:rPr>
        <w:t>Guidelines for Development of Civil Aircraft and Systems</w:t>
      </w:r>
      <w:r w:rsidRPr="00A661AE">
        <w:t>.</w:t>
      </w:r>
    </w:p>
    <w:p w14:paraId="66C22791" w14:textId="77777777" w:rsidR="00D25C93" w:rsidRDefault="00D25C93" w:rsidP="00D25C93">
      <w:pPr>
        <w:pStyle w:val="Levels1-3-Bullet"/>
      </w:pPr>
      <w:r w:rsidRPr="00A661AE">
        <w:t xml:space="preserve">SAE ARP 4761, </w:t>
      </w:r>
      <w:r w:rsidRPr="000C1B7A">
        <w:rPr>
          <w:rStyle w:val="TitleReferenceitalics"/>
        </w:rPr>
        <w:t>Guidelines and Methods for Conducting the Safety Assessment Process on Civil Airborne Systems and Equipment</w:t>
      </w:r>
      <w:r w:rsidRPr="00A661AE">
        <w:t>.</w:t>
      </w:r>
    </w:p>
    <w:p w14:paraId="4174C369" w14:textId="77777777" w:rsidR="00686860" w:rsidRDefault="008318BE" w:rsidP="008318BE">
      <w:pPr>
        <w:pStyle w:val="Levels1-3-Bullet"/>
      </w:pPr>
      <w:r w:rsidRPr="00A661AE">
        <w:t xml:space="preserve">SAE </w:t>
      </w:r>
      <w:r>
        <w:t>ARP</w:t>
      </w:r>
      <w:r w:rsidRPr="00A661AE">
        <w:t xml:space="preserve"> 5150, </w:t>
      </w:r>
      <w:r w:rsidRPr="000C1B7A">
        <w:rPr>
          <w:rStyle w:val="TitleReferenceitalics"/>
        </w:rPr>
        <w:t>Safety Assessment of Transport Airplanes in Commercial Service</w:t>
      </w:r>
      <w:r w:rsidRPr="00A661AE">
        <w:t>.</w:t>
      </w:r>
    </w:p>
    <w:p w14:paraId="377975E7" w14:textId="527E0D28" w:rsidR="007849E7" w:rsidRPr="0021683E" w:rsidRDefault="007849E7" w:rsidP="007849E7">
      <w:pPr>
        <w:pStyle w:val="Levels1-3-Bullet"/>
      </w:pPr>
      <w:r w:rsidRPr="00431203">
        <w:t>Technical Report</w:t>
      </w:r>
      <w:r w:rsidR="008C603D">
        <w:t>s</w:t>
      </w:r>
      <w:r w:rsidRPr="00431203">
        <w:t xml:space="preserve"> on Propulsion System and Auxiliary Power Unit (APU) Related Aircraft Safety Hazards</w:t>
      </w:r>
      <w:r w:rsidR="008C603D">
        <w:t xml:space="preserve"> (</w:t>
      </w:r>
      <w:r w:rsidRPr="006E006F">
        <w:rPr>
          <w:rStyle w:val="TitleReferenceitalics"/>
        </w:rPr>
        <w:t>CAAM</w:t>
      </w:r>
      <w:r w:rsidR="007910B6">
        <w:rPr>
          <w:rStyle w:val="TitleReferenceitalics"/>
        </w:rPr>
        <w:t xml:space="preserve"> </w:t>
      </w:r>
      <w:r w:rsidRPr="006E006F">
        <w:rPr>
          <w:rStyle w:val="TitleReferenceitalics"/>
        </w:rPr>
        <w:t>1</w:t>
      </w:r>
      <w:r>
        <w:rPr>
          <w:rStyle w:val="TitleReferenceitalics"/>
        </w:rPr>
        <w:t>, CAAM</w:t>
      </w:r>
      <w:r w:rsidR="007910B6">
        <w:rPr>
          <w:rStyle w:val="TitleReferenceitalics"/>
        </w:rPr>
        <w:t xml:space="preserve"> </w:t>
      </w:r>
      <w:r>
        <w:rPr>
          <w:rStyle w:val="TitleReferenceitalics"/>
        </w:rPr>
        <w:t>2, and CAAM</w:t>
      </w:r>
      <w:r w:rsidR="007910B6">
        <w:rPr>
          <w:rStyle w:val="TitleReferenceitalics"/>
        </w:rPr>
        <w:t xml:space="preserve"> </w:t>
      </w:r>
      <w:r>
        <w:rPr>
          <w:rStyle w:val="TitleReferenceitalics"/>
        </w:rPr>
        <w:t>3</w:t>
      </w:r>
      <w:r w:rsidRPr="006E006F">
        <w:rPr>
          <w:rStyle w:val="TitleReferenceitalics"/>
        </w:rPr>
        <w:t xml:space="preserve"> Report</w:t>
      </w:r>
      <w:r>
        <w:rPr>
          <w:rStyle w:val="TitleReferenceitalics"/>
        </w:rPr>
        <w:t>s</w:t>
      </w:r>
      <w:r w:rsidR="008C603D">
        <w:rPr>
          <w:rStyle w:val="TitleReferenceitalics"/>
        </w:rPr>
        <w:t>)</w:t>
      </w:r>
      <w:r w:rsidR="008D5A27">
        <w:rPr>
          <w:rStyle w:val="TitleReferenceitalics"/>
        </w:rPr>
        <w:t xml:space="preserve">, </w:t>
      </w:r>
      <w:bookmarkStart w:id="14" w:name="_Hlk182906184"/>
      <w:r w:rsidR="008D5A27" w:rsidRPr="009C2E13">
        <w:rPr>
          <w:rStyle w:val="TitleReferenceitalics"/>
          <w:i w:val="0"/>
          <w:iCs/>
        </w:rPr>
        <w:t>and the subsequent CAAM reports posted online in the website</w:t>
      </w:r>
      <w:r w:rsidR="008D5A27" w:rsidRPr="009C2E13">
        <w:rPr>
          <w:rStyle w:val="TitleReferenceitalics"/>
          <w:i w:val="0"/>
        </w:rPr>
        <w:t xml:space="preserve"> </w:t>
      </w:r>
      <w:hyperlink r:id="rId15" w:history="1">
        <w:r w:rsidR="008D5A27" w:rsidRPr="0021683E">
          <w:rPr>
            <w:color w:val="0000FF"/>
            <w:u w:val="single"/>
          </w:rPr>
          <w:t>Engines and Propellers Reports | Federal Aviation Administration</w:t>
        </w:r>
      </w:hyperlink>
      <w:r w:rsidRPr="0021683E">
        <w:t>.</w:t>
      </w:r>
    </w:p>
    <w:bookmarkEnd w:id="14"/>
    <w:p w14:paraId="49ACE1D4" w14:textId="77777777" w:rsidR="00F63B54" w:rsidRDefault="00F63B54" w:rsidP="0099285B">
      <w:pPr>
        <w:pStyle w:val="Heading2"/>
        <w:numPr>
          <w:ilvl w:val="1"/>
          <w:numId w:val="7"/>
        </w:numPr>
        <w:tabs>
          <w:tab w:val="clear" w:pos="864"/>
        </w:tabs>
        <w:ind w:left="900" w:hanging="900"/>
        <w:rPr>
          <w:rStyle w:val="Lead-in-Bold"/>
        </w:rPr>
      </w:pPr>
      <w:r>
        <w:rPr>
          <w:rStyle w:val="Lead-in-Bold"/>
        </w:rPr>
        <w:t>Technical Publications.</w:t>
      </w:r>
    </w:p>
    <w:p w14:paraId="086063BA" w14:textId="77777777" w:rsidR="00F63B54" w:rsidRPr="00A661AE" w:rsidRDefault="00F63B54" w:rsidP="00F63B54">
      <w:pPr>
        <w:pStyle w:val="Levels1-3-Bullet"/>
      </w:pPr>
      <w:r w:rsidRPr="00A661AE">
        <w:t xml:space="preserve">E. Lloyd and W. Tye, </w:t>
      </w:r>
      <w:r w:rsidRPr="000C1B7A">
        <w:rPr>
          <w:rStyle w:val="TitleReferenceitalics"/>
        </w:rPr>
        <w:t>Systematic Safety</w:t>
      </w:r>
      <w:r>
        <w:rPr>
          <w:rStyle w:val="TitleReferenceitalics"/>
        </w:rPr>
        <w:t>: Safety Assessment of Aircraft Systems</w:t>
      </w:r>
      <w:r w:rsidRPr="00A661AE">
        <w:t>, London: Taylor Young Limited, 1982.</w:t>
      </w:r>
    </w:p>
    <w:p w14:paraId="74DE84A6" w14:textId="77777777" w:rsidR="00F63B54" w:rsidRPr="00A661AE" w:rsidRDefault="00F63B54" w:rsidP="00F63B54">
      <w:pPr>
        <w:pStyle w:val="Levels1-3-Bullet"/>
      </w:pPr>
      <w:r>
        <w:t xml:space="preserve">Averill M. </w:t>
      </w:r>
      <w:r w:rsidRPr="00A661AE">
        <w:t xml:space="preserve">Law and </w:t>
      </w:r>
      <w:r>
        <w:t xml:space="preserve">W. David </w:t>
      </w:r>
      <w:r w:rsidRPr="00A661AE">
        <w:t>Kelton</w:t>
      </w:r>
      <w:r>
        <w:t>,</w:t>
      </w:r>
      <w:r w:rsidRPr="000C1B7A">
        <w:rPr>
          <w:rStyle w:val="TitleReferenceitalics"/>
        </w:rPr>
        <w:t xml:space="preserve"> </w:t>
      </w:r>
      <w:r w:rsidRPr="004A4270">
        <w:rPr>
          <w:rStyle w:val="TitleReferenceitalics"/>
        </w:rPr>
        <w:t>Simulation Modeling and Analysis - 2nd Edition</w:t>
      </w:r>
      <w:r w:rsidRPr="004A4270">
        <w:rPr>
          <w:rStyle w:val="TitleReferenceitalics"/>
          <w:i w:val="0"/>
        </w:rPr>
        <w:t xml:space="preserve">, </w:t>
      </w:r>
      <w:r w:rsidRPr="00A661AE">
        <w:t xml:space="preserve">McGraw-Hill </w:t>
      </w:r>
      <w:r>
        <w:t>Publishing Company</w:t>
      </w:r>
      <w:r w:rsidRPr="00A661AE">
        <w:t>, 1991.</w:t>
      </w:r>
    </w:p>
    <w:p w14:paraId="1793C958" w14:textId="77777777" w:rsidR="006C4FD9" w:rsidRPr="007F6451" w:rsidRDefault="006C4FD9" w:rsidP="007F6451">
      <w:pPr>
        <w:pStyle w:val="Heading1"/>
        <w:numPr>
          <w:ilvl w:val="0"/>
          <w:numId w:val="7"/>
        </w:numPr>
        <w:rPr>
          <w:rStyle w:val="Lead-in-Bold"/>
          <w:b/>
          <w:caps w:val="0"/>
        </w:rPr>
      </w:pPr>
      <w:r w:rsidRPr="007F6451">
        <w:lastRenderedPageBreak/>
        <w:t>DEFINITIONS</w:t>
      </w:r>
      <w:r w:rsidRPr="007F6451">
        <w:rPr>
          <w:rStyle w:val="Lead-in-Bold"/>
          <w:b/>
        </w:rPr>
        <w:t>.</w:t>
      </w:r>
    </w:p>
    <w:p w14:paraId="1BA00452" w14:textId="02F9BD50" w:rsidR="00920810" w:rsidRPr="006F0E5E" w:rsidRDefault="00612AFE" w:rsidP="006F0E5E">
      <w:pPr>
        <w:pStyle w:val="Levels1-3-OneParagraphUnderHeading"/>
      </w:pPr>
      <w:r>
        <w:t>For the purposes of this AC, the following definitions apply:</w:t>
      </w:r>
    </w:p>
    <w:p w14:paraId="63D9820D" w14:textId="32338C91" w:rsidR="007F6451" w:rsidRDefault="00BC4312" w:rsidP="00F9303E">
      <w:pPr>
        <w:pStyle w:val="Heading2"/>
        <w:rPr>
          <w:rStyle w:val="Lead-in-Bold"/>
          <w:b w:val="0"/>
          <w:szCs w:val="24"/>
        </w:rPr>
      </w:pPr>
      <w:r w:rsidRPr="006E2B65">
        <w:rPr>
          <w:rStyle w:val="Lead-in-Bold"/>
        </w:rPr>
        <w:t>APU Installation.</w:t>
      </w:r>
    </w:p>
    <w:p w14:paraId="64D27EFA" w14:textId="4BC1C619" w:rsidR="00BC4312" w:rsidRDefault="008F63FD" w:rsidP="007F6451">
      <w:pPr>
        <w:pStyle w:val="Levels1-3-OneParagraphUnderHeading"/>
      </w:pPr>
      <w:r>
        <w:t>Any gas turbine-powered unit delivering rotating shaft power, compressor air, or both</w:t>
      </w:r>
      <w:r w:rsidR="00686860">
        <w:t>,</w:t>
      </w:r>
      <w:r>
        <w:t xml:space="preserve"> which is not intended for direct</w:t>
      </w:r>
      <w:r w:rsidR="00FC5526">
        <w:t xml:space="preserve"> propulsion</w:t>
      </w:r>
      <w:r>
        <w:t xml:space="preserve"> of an </w:t>
      </w:r>
      <w:r w:rsidR="0041521B">
        <w:t>airplane</w:t>
      </w:r>
      <w:r w:rsidR="00FC5526">
        <w:t>.</w:t>
      </w:r>
      <w:r w:rsidR="00E442E7">
        <w:t xml:space="preserve"> </w:t>
      </w:r>
      <w:r w:rsidR="00BC4312">
        <w:t>Typically, the APU installation includes the following components:</w:t>
      </w:r>
    </w:p>
    <w:p w14:paraId="7A5E17B5" w14:textId="603659AD" w:rsidR="00BC4312" w:rsidRDefault="00BC4312" w:rsidP="002A3591">
      <w:pPr>
        <w:pStyle w:val="Levels1-3-Bullet"/>
      </w:pPr>
      <w:r>
        <w:t>APU</w:t>
      </w:r>
      <w:r w:rsidR="006D23B3">
        <w:t xml:space="preserve"> gas turbine </w:t>
      </w:r>
      <w:proofErr w:type="gramStart"/>
      <w:r w:rsidR="006D23B3">
        <w:t>unit</w:t>
      </w:r>
      <w:r>
        <w:t>;</w:t>
      </w:r>
      <w:proofErr w:type="gramEnd"/>
    </w:p>
    <w:p w14:paraId="06C06142" w14:textId="77777777" w:rsidR="00BC4312" w:rsidRDefault="00BC4312" w:rsidP="002A3591">
      <w:pPr>
        <w:pStyle w:val="Levels1-3-Bullet"/>
      </w:pPr>
      <w:r>
        <w:t xml:space="preserve">APU </w:t>
      </w:r>
      <w:proofErr w:type="gramStart"/>
      <w:r>
        <w:t>accessories;</w:t>
      </w:r>
      <w:proofErr w:type="gramEnd"/>
    </w:p>
    <w:p w14:paraId="1D5FE709" w14:textId="77777777" w:rsidR="00BC4312" w:rsidRDefault="00BC4312" w:rsidP="002A3591">
      <w:pPr>
        <w:pStyle w:val="Levels1-3-Bullet"/>
      </w:pPr>
      <w:r>
        <w:t xml:space="preserve">APU inlet and exhaust </w:t>
      </w:r>
      <w:proofErr w:type="gramStart"/>
      <w:r>
        <w:t>systems;</w:t>
      </w:r>
      <w:proofErr w:type="gramEnd"/>
    </w:p>
    <w:p w14:paraId="032F17BE" w14:textId="77777777" w:rsidR="00BC4312" w:rsidRDefault="00BC4312" w:rsidP="002A3591">
      <w:pPr>
        <w:pStyle w:val="Levels1-3-Bullet"/>
      </w:pPr>
      <w:r>
        <w:t xml:space="preserve">APU control </w:t>
      </w:r>
      <w:proofErr w:type="gramStart"/>
      <w:r>
        <w:t>systems;</w:t>
      </w:r>
      <w:proofErr w:type="gramEnd"/>
    </w:p>
    <w:p w14:paraId="40AE94D6" w14:textId="77777777" w:rsidR="00BC4312" w:rsidRDefault="00BC4312" w:rsidP="002A3591">
      <w:pPr>
        <w:pStyle w:val="Levels1-3-Bullet"/>
      </w:pPr>
      <w:r>
        <w:t xml:space="preserve">APU indicating </w:t>
      </w:r>
      <w:proofErr w:type="gramStart"/>
      <w:r>
        <w:t>systems;</w:t>
      </w:r>
      <w:proofErr w:type="gramEnd"/>
    </w:p>
    <w:p w14:paraId="0490B428" w14:textId="77777777" w:rsidR="00BC4312" w:rsidRDefault="00BC4312" w:rsidP="002A3591">
      <w:pPr>
        <w:pStyle w:val="Levels1-3-Bullet"/>
      </w:pPr>
      <w:r>
        <w:t>APU fire protection systems; and</w:t>
      </w:r>
    </w:p>
    <w:p w14:paraId="3E5C27EA" w14:textId="77777777" w:rsidR="00BC4312" w:rsidRDefault="00BC4312" w:rsidP="002A3591">
      <w:pPr>
        <w:pStyle w:val="Levels1-3-Bullet"/>
      </w:pPr>
      <w:r>
        <w:t>APU bleed air systems.</w:t>
      </w:r>
    </w:p>
    <w:p w14:paraId="0BBB24D9" w14:textId="173DA019" w:rsidR="00C30937" w:rsidRDefault="00917C46" w:rsidP="00F9303E">
      <w:pPr>
        <w:pStyle w:val="Heading2"/>
      </w:pPr>
      <w:r w:rsidRPr="00917C46">
        <w:rPr>
          <w:rStyle w:val="Lead-in-Bold"/>
        </w:rPr>
        <w:t>Continued Airworthiness.</w:t>
      </w:r>
    </w:p>
    <w:p w14:paraId="70741D7D" w14:textId="4068B381" w:rsidR="00917C46" w:rsidRDefault="00917C46" w:rsidP="00C30937">
      <w:pPr>
        <w:pStyle w:val="Levels1-3-OneParagraphUnderHeading"/>
      </w:pPr>
      <w:r>
        <w:t xml:space="preserve">The ongoing activities associated with ensuring a product remains in compliance with </w:t>
      </w:r>
      <w:r w:rsidR="001C2740">
        <w:t>its</w:t>
      </w:r>
      <w:r>
        <w:t xml:space="preserve"> </w:t>
      </w:r>
      <w:r w:rsidR="00346081">
        <w:t>type design</w:t>
      </w:r>
      <w:r w:rsidR="006A7FB4">
        <w:t xml:space="preserve"> </w:t>
      </w:r>
      <w:r w:rsidR="006A7FB4" w:rsidRPr="006A7FB4">
        <w:t xml:space="preserve">and </w:t>
      </w:r>
      <w:r w:rsidR="0020055B">
        <w:t xml:space="preserve">is </w:t>
      </w:r>
      <w:r w:rsidR="006A7FB4" w:rsidRPr="006A7FB4">
        <w:t>in a condition for safe operation</w:t>
      </w:r>
      <w:r>
        <w:t>.</w:t>
      </w:r>
    </w:p>
    <w:p w14:paraId="24334D5C" w14:textId="7D614269" w:rsidR="00C30937" w:rsidRDefault="00917C46" w:rsidP="00F9303E">
      <w:pPr>
        <w:pStyle w:val="Heading2"/>
      </w:pPr>
      <w:r w:rsidRPr="00917C46">
        <w:rPr>
          <w:rStyle w:val="Lead-in-Bold"/>
        </w:rPr>
        <w:t>Control Program.</w:t>
      </w:r>
    </w:p>
    <w:p w14:paraId="319C2A50" w14:textId="5B3BE7AA" w:rsidR="0058652C" w:rsidRDefault="00917C46" w:rsidP="00C30937">
      <w:pPr>
        <w:pStyle w:val="Levels1-3-OneParagraphUnderHeading"/>
      </w:pPr>
      <w:r>
        <w:t xml:space="preserve">The combination of </w:t>
      </w:r>
      <w:r w:rsidR="004D5C0F">
        <w:t xml:space="preserve">corrective actions and </w:t>
      </w:r>
      <w:r w:rsidR="00F53242">
        <w:t>timetable for their completion</w:t>
      </w:r>
      <w:r w:rsidR="004D5C0F">
        <w:t xml:space="preserve"> </w:t>
      </w:r>
      <w:r>
        <w:t xml:space="preserve">needed to </w:t>
      </w:r>
      <w:r w:rsidR="003C4301">
        <w:t>address</w:t>
      </w:r>
      <w:r>
        <w:t xml:space="preserve"> an identified unsafe condition.</w:t>
      </w:r>
    </w:p>
    <w:p w14:paraId="67127C46" w14:textId="38750C2F" w:rsidR="00C30937" w:rsidRDefault="00917C46" w:rsidP="00182725">
      <w:pPr>
        <w:pStyle w:val="Heading2"/>
      </w:pPr>
      <w:r w:rsidRPr="00917C46">
        <w:rPr>
          <w:rStyle w:val="Lead-in-Bold"/>
        </w:rPr>
        <w:t>Event.</w:t>
      </w:r>
    </w:p>
    <w:p w14:paraId="4F101A1A" w14:textId="2523BCE6" w:rsidR="00917C46" w:rsidRDefault="00182725" w:rsidP="00C30937">
      <w:pPr>
        <w:pStyle w:val="Levels1-3-OneParagraphUnderHeading"/>
      </w:pPr>
      <w:r w:rsidRPr="00182725">
        <w:t xml:space="preserve">Any individual occurrence involving an aircraft or its components. Described in terms of what is observed (the symptoms) or recorded during the occurrence. Events typically trigger investigations that seek causes of a </w:t>
      </w:r>
      <w:r w:rsidR="00327361">
        <w:t>hazard</w:t>
      </w:r>
      <w:r w:rsidRPr="00182725">
        <w:t xml:space="preserve">. The </w:t>
      </w:r>
      <w:r w:rsidR="00967F9D">
        <w:t>hazard</w:t>
      </w:r>
      <w:r w:rsidRPr="00182725">
        <w:t xml:space="preserve"> (or condition) is then evaluated for safety implications</w:t>
      </w:r>
      <w:r>
        <w:t>.</w:t>
      </w:r>
      <w:r w:rsidR="00E442E7">
        <w:t xml:space="preserve"> </w:t>
      </w:r>
    </w:p>
    <w:p w14:paraId="036DDE81" w14:textId="747E9DB5" w:rsidR="00C30937" w:rsidRDefault="00917C46" w:rsidP="003F4311">
      <w:pPr>
        <w:pStyle w:val="Heading2"/>
        <w:keepNext/>
        <w:keepLines/>
      </w:pPr>
      <w:r w:rsidRPr="00917C46">
        <w:rPr>
          <w:rStyle w:val="Lead-in-Bold"/>
        </w:rPr>
        <w:t>Hazard Level.</w:t>
      </w:r>
    </w:p>
    <w:p w14:paraId="37C62585" w14:textId="5E1531AA" w:rsidR="00917C46" w:rsidRDefault="00917C46" w:rsidP="003F4311">
      <w:pPr>
        <w:pStyle w:val="Levels1-3-OneParagraphUnderHeading"/>
        <w:keepNext/>
        <w:keepLines/>
      </w:pPr>
      <w:r>
        <w:t xml:space="preserve">Level of event outcome, as defined by its effect on the </w:t>
      </w:r>
      <w:r w:rsidR="0041521B">
        <w:t>air</w:t>
      </w:r>
      <w:r w:rsidR="006D23B3">
        <w:t>craft</w:t>
      </w:r>
      <w:r>
        <w:t xml:space="preserve">, passengers, and crew (see appendix </w:t>
      </w:r>
      <w:r w:rsidR="008777FC">
        <w:t>B</w:t>
      </w:r>
      <w:r w:rsidR="00170FF2">
        <w:t xml:space="preserve">, </w:t>
      </w:r>
      <w:r w:rsidR="00E162F8">
        <w:t>H</w:t>
      </w:r>
      <w:r w:rsidR="0084242D">
        <w:t xml:space="preserve">azard </w:t>
      </w:r>
      <w:r w:rsidR="00E162F8">
        <w:t>L</w:t>
      </w:r>
      <w:r w:rsidR="0084242D">
        <w:t>evel</w:t>
      </w:r>
      <w:r w:rsidR="00170FF2">
        <w:t xml:space="preserve"> Definitions</w:t>
      </w:r>
      <w:r>
        <w:t>).</w:t>
      </w:r>
    </w:p>
    <w:p w14:paraId="2946980F" w14:textId="7DE926B3" w:rsidR="00C30937" w:rsidRDefault="00917C46" w:rsidP="00F9303E">
      <w:pPr>
        <w:pStyle w:val="Heading2"/>
      </w:pPr>
      <w:r w:rsidRPr="00917C46">
        <w:rPr>
          <w:rStyle w:val="Lead-in-Bold"/>
        </w:rPr>
        <w:t>Hazard Ratio.</w:t>
      </w:r>
    </w:p>
    <w:p w14:paraId="479A437F" w14:textId="28FDBCF4" w:rsidR="00917C46" w:rsidRDefault="00917C46" w:rsidP="00C30937">
      <w:pPr>
        <w:pStyle w:val="Levels1-3-OneParagraphUnderHeading"/>
      </w:pPr>
      <w:r>
        <w:t xml:space="preserve">The conditional probability that a particular powerplant installation failure mode will result in an event of a specific </w:t>
      </w:r>
      <w:r w:rsidR="00E162F8">
        <w:t>HL</w:t>
      </w:r>
      <w:r>
        <w:t>.</w:t>
      </w:r>
    </w:p>
    <w:p w14:paraId="1C2BB2D7" w14:textId="0495B263" w:rsidR="00C30937" w:rsidRDefault="00917C46" w:rsidP="002E759E">
      <w:pPr>
        <w:pStyle w:val="Heading2"/>
      </w:pPr>
      <w:r w:rsidRPr="00917C46">
        <w:rPr>
          <w:rStyle w:val="Lead-in-Bold"/>
        </w:rPr>
        <w:t>Malfunction.</w:t>
      </w:r>
    </w:p>
    <w:p w14:paraId="041C335C" w14:textId="144452DD" w:rsidR="0058652C" w:rsidRDefault="00917C46" w:rsidP="00C30937">
      <w:pPr>
        <w:pStyle w:val="Levels1-3-OneParagraphUnderHeading"/>
      </w:pPr>
      <w:r>
        <w:t>A single initiating cause of a failure, defect</w:t>
      </w:r>
      <w:r w:rsidR="00D76EEE">
        <w:t>,</w:t>
      </w:r>
      <w:r>
        <w:t xml:space="preserve"> or other abnormal condition on a type design that can affect one or more parts.</w:t>
      </w:r>
      <w:r w:rsidR="00E442E7">
        <w:t xml:space="preserve"> </w:t>
      </w:r>
      <w:r w:rsidR="002E759E" w:rsidRPr="002E759E">
        <w:t xml:space="preserve">One specific cause (such as a melt-related defect leading to fracture) that affects several different parts (5th stage disks and 6th stage disks, for example) within an engine type design is considered a single </w:t>
      </w:r>
      <w:r w:rsidR="002E759E" w:rsidRPr="002E759E">
        <w:lastRenderedPageBreak/>
        <w:t>malfunction type.</w:t>
      </w:r>
      <w:r w:rsidR="00E442E7">
        <w:t xml:space="preserve"> </w:t>
      </w:r>
      <w:r w:rsidR="002E759E" w:rsidRPr="002E759E">
        <w:t>However, multiple initiating causes for a single part (e.g., melt-related defect, high-cycle fatigue, corrosion, etc., for 5th stage disks) represent multiple malfunction types.</w:t>
      </w:r>
      <w:r w:rsidR="00E442E7">
        <w:t xml:space="preserve"> </w:t>
      </w:r>
      <w:r w:rsidR="002E759E" w:rsidRPr="002E759E">
        <w:t xml:space="preserve">Note that </w:t>
      </w:r>
      <w:r w:rsidR="003D217D">
        <w:t>the</w:t>
      </w:r>
      <w:r w:rsidR="002E759E" w:rsidRPr="002E759E">
        <w:t xml:space="preserve"> use of the term “malfunction” attempts to cover the traditional definition referring to systems or components not functioning properly along with hardware-induced failures.</w:t>
      </w:r>
    </w:p>
    <w:p w14:paraId="5845364D" w14:textId="2513D316" w:rsidR="00C30937" w:rsidRDefault="00917C46" w:rsidP="002A3591">
      <w:pPr>
        <w:pStyle w:val="Heading2"/>
      </w:pPr>
      <w:r w:rsidRPr="00917C46">
        <w:rPr>
          <w:rStyle w:val="Lead-in-Bold"/>
        </w:rPr>
        <w:t>Powerplant Installation.</w:t>
      </w:r>
    </w:p>
    <w:p w14:paraId="48EB0A31" w14:textId="5378B1AE" w:rsidR="00BC4312" w:rsidRDefault="00917C46" w:rsidP="00C30937">
      <w:pPr>
        <w:pStyle w:val="Levels1-3-OneParagraphUnderHeading"/>
      </w:pPr>
      <w:r>
        <w:t>Each component that is necessary for propulsion, affects the control of the major propulsive units, or affects the safety of the major propulsive units between normal inspections or overhauls.</w:t>
      </w:r>
      <w:r w:rsidR="00E442E7">
        <w:t xml:space="preserve"> </w:t>
      </w:r>
      <w:r w:rsidR="00BC4312">
        <w:t>Typically, the powerplant installation includes the following components:</w:t>
      </w:r>
    </w:p>
    <w:p w14:paraId="7BF2D55C" w14:textId="77777777" w:rsidR="00BC4312" w:rsidRDefault="00BC4312" w:rsidP="002A3591">
      <w:pPr>
        <w:pStyle w:val="Levels1-3-Bullet"/>
      </w:pPr>
      <w:r>
        <w:t xml:space="preserve">Main engines and </w:t>
      </w:r>
      <w:proofErr w:type="gramStart"/>
      <w:r>
        <w:t>propellers;</w:t>
      </w:r>
      <w:proofErr w:type="gramEnd"/>
    </w:p>
    <w:p w14:paraId="2DF02947" w14:textId="77777777" w:rsidR="00BC4312" w:rsidRPr="00CE3E00" w:rsidRDefault="00BC4312" w:rsidP="002A3591">
      <w:pPr>
        <w:pStyle w:val="Levels1-3-Bullet"/>
      </w:pPr>
      <w:r w:rsidRPr="00CE3E00">
        <w:t xml:space="preserve">Engine and propeller accessories including engine oil systems, engine bleed systems, </w:t>
      </w:r>
      <w:proofErr w:type="gramStart"/>
      <w:r w:rsidRPr="00CE3E00">
        <w:t>gearboxes;</w:t>
      </w:r>
      <w:proofErr w:type="gramEnd"/>
    </w:p>
    <w:p w14:paraId="716C5032" w14:textId="74A0AE85" w:rsidR="00BC4312" w:rsidRDefault="00BC4312" w:rsidP="002A3591">
      <w:pPr>
        <w:pStyle w:val="Levels1-3-Bullet"/>
      </w:pPr>
      <w:r>
        <w:t>Engine and propeller controls and indicati</w:t>
      </w:r>
      <w:r w:rsidR="006D23B3">
        <w:t xml:space="preserve">ng </w:t>
      </w:r>
      <w:proofErr w:type="gramStart"/>
      <w:r w:rsidR="006D23B3">
        <w:t>systems</w:t>
      </w:r>
      <w:r w:rsidR="00E018A4">
        <w:t>;</w:t>
      </w:r>
      <w:proofErr w:type="gramEnd"/>
    </w:p>
    <w:p w14:paraId="634D9256" w14:textId="77777777" w:rsidR="00BC4312" w:rsidRDefault="00BC4312" w:rsidP="002A3591">
      <w:pPr>
        <w:pStyle w:val="Levels1-3-Bullet"/>
        <w:rPr>
          <w:b/>
        </w:rPr>
      </w:pPr>
      <w:r>
        <w:t xml:space="preserve">Engine and propeller protection systems, including engine fire protection systems, engine overspeed protection systems, engine icing protection </w:t>
      </w:r>
      <w:proofErr w:type="gramStart"/>
      <w:r>
        <w:t>systems;</w:t>
      </w:r>
      <w:proofErr w:type="gramEnd"/>
    </w:p>
    <w:p w14:paraId="31F3D6F8" w14:textId="77777777" w:rsidR="00BC4312" w:rsidRDefault="00BC4312" w:rsidP="002A3591">
      <w:pPr>
        <w:pStyle w:val="Levels1-3-Bullet"/>
      </w:pPr>
      <w:r>
        <w:t xml:space="preserve">Engine nacelles and cowling, including inlets, exhaust nozzles, core cowls, fan cowls, thrust </w:t>
      </w:r>
      <w:proofErr w:type="gramStart"/>
      <w:r>
        <w:t>reversers;</w:t>
      </w:r>
      <w:proofErr w:type="gramEnd"/>
    </w:p>
    <w:p w14:paraId="728AA6E2" w14:textId="77777777" w:rsidR="00BC4312" w:rsidRDefault="00BC4312" w:rsidP="002A3591">
      <w:pPr>
        <w:pStyle w:val="Levels1-3-Bullet"/>
      </w:pPr>
      <w:r>
        <w:t>Engine struts and pylons; and</w:t>
      </w:r>
    </w:p>
    <w:p w14:paraId="4C310E2F" w14:textId="77777777" w:rsidR="00BC4312" w:rsidRDefault="00BC4312" w:rsidP="002A3591">
      <w:pPr>
        <w:pStyle w:val="Levels1-3-Bullet"/>
      </w:pPr>
      <w:r>
        <w:t>Fuel systems, including fuel feed systems, refuel and defuel systems, fuel transfer systems, fuel system controls and indications.</w:t>
      </w:r>
    </w:p>
    <w:p w14:paraId="46FD0B8C" w14:textId="173D4885" w:rsidR="00C30937" w:rsidRDefault="00917C46" w:rsidP="00F9303E">
      <w:pPr>
        <w:pStyle w:val="Heading2"/>
      </w:pPr>
      <w:r w:rsidRPr="00917C46">
        <w:rPr>
          <w:rStyle w:val="Lead-in-Bold"/>
        </w:rPr>
        <w:t>Product Design Standards.</w:t>
      </w:r>
    </w:p>
    <w:p w14:paraId="10F9F213" w14:textId="69AFC3D9" w:rsidR="00917C46" w:rsidRDefault="004D16FF" w:rsidP="00C30937">
      <w:pPr>
        <w:pStyle w:val="Levels1-3-OneParagraphUnderHeading"/>
      </w:pPr>
      <w:r>
        <w:t xml:space="preserve">The </w:t>
      </w:r>
      <w:r w:rsidR="00917C46">
        <w:t xml:space="preserve">requirements </w:t>
      </w:r>
      <w:r w:rsidR="002E759E">
        <w:t xml:space="preserve">delineated within the </w:t>
      </w:r>
      <w:r w:rsidR="00EC040B">
        <w:t>a</w:t>
      </w:r>
      <w:r w:rsidR="002E759E">
        <w:t xml:space="preserve">irworthiness </w:t>
      </w:r>
      <w:r w:rsidR="007816CE">
        <w:t>s</w:t>
      </w:r>
      <w:r w:rsidR="002E759E">
        <w:t>tandards (</w:t>
      </w:r>
      <w:r w:rsidR="00D900F7">
        <w:t>for the purposes of this AC</w:t>
      </w:r>
      <w:r w:rsidR="00EC040B">
        <w:t xml:space="preserve">, </w:t>
      </w:r>
      <w:r w:rsidR="002E759E">
        <w:t>14 CFR part</w:t>
      </w:r>
      <w:r w:rsidR="0084242D">
        <w:t>s</w:t>
      </w:r>
      <w:r w:rsidR="002E759E">
        <w:t xml:space="preserve"> 25,</w:t>
      </w:r>
      <w:r w:rsidR="006A5CB0">
        <w:t xml:space="preserve"> </w:t>
      </w:r>
      <w:r w:rsidR="002E759E">
        <w:t xml:space="preserve">33, </w:t>
      </w:r>
      <w:r w:rsidR="0084242D">
        <w:t>and</w:t>
      </w:r>
      <w:r w:rsidR="002E759E">
        <w:t xml:space="preserve"> 35) and </w:t>
      </w:r>
      <w:r w:rsidR="00EC040B">
        <w:t>o</w:t>
      </w:r>
      <w:r w:rsidR="002E759E">
        <w:t xml:space="preserve">perating </w:t>
      </w:r>
      <w:r w:rsidR="007816CE">
        <w:t>r</w:t>
      </w:r>
      <w:r w:rsidR="002E759E">
        <w:t>ules (</w:t>
      </w:r>
      <w:r w:rsidR="00D900F7">
        <w:t>for the purposes of this AC</w:t>
      </w:r>
      <w:r w:rsidR="00EC040B">
        <w:t xml:space="preserve">, </w:t>
      </w:r>
      <w:r w:rsidR="002E759E">
        <w:t>14</w:t>
      </w:r>
      <w:r w:rsidR="0043322D">
        <w:t> </w:t>
      </w:r>
      <w:r w:rsidR="002E759E">
        <w:t>CFR part</w:t>
      </w:r>
      <w:r w:rsidR="0084242D">
        <w:t>s</w:t>
      </w:r>
      <w:r w:rsidR="002E759E">
        <w:t xml:space="preserve"> 91, 121, 125, and 135) </w:t>
      </w:r>
      <w:r>
        <w:t>that regulate the physical and functional characteristic</w:t>
      </w:r>
      <w:r w:rsidR="00FE005C">
        <w:t>s</w:t>
      </w:r>
      <w:r>
        <w:t xml:space="preserve"> of air</w:t>
      </w:r>
      <w:r w:rsidR="00570EEA">
        <w:t>planes</w:t>
      </w:r>
      <w:r>
        <w:t xml:space="preserve">, engines, </w:t>
      </w:r>
      <w:r w:rsidR="007816CE">
        <w:t>propellers</w:t>
      </w:r>
      <w:r w:rsidR="00BC27C0">
        <w:t xml:space="preserve">, </w:t>
      </w:r>
      <w:r>
        <w:t>and components</w:t>
      </w:r>
      <w:r w:rsidR="002E759E">
        <w:t>.</w:t>
      </w:r>
      <w:r w:rsidR="00E442E7">
        <w:t xml:space="preserve"> </w:t>
      </w:r>
      <w:r w:rsidR="0058501F">
        <w:t>For the purposes of this AC, these are sometimes referred to as “certification standards” or “design standards.”</w:t>
      </w:r>
    </w:p>
    <w:p w14:paraId="3FECBDBB" w14:textId="081E8E14" w:rsidR="00C30937" w:rsidRDefault="00917C46" w:rsidP="00F9303E">
      <w:pPr>
        <w:pStyle w:val="Heading2"/>
      </w:pPr>
      <w:r w:rsidRPr="00917C46">
        <w:rPr>
          <w:rStyle w:val="Lead-in-Bold"/>
        </w:rPr>
        <w:t>Risk Factor.</w:t>
      </w:r>
    </w:p>
    <w:p w14:paraId="5FC883F0" w14:textId="74B0DBCA" w:rsidR="00917C46" w:rsidRDefault="00917C46" w:rsidP="00C30937">
      <w:pPr>
        <w:pStyle w:val="Levels1-3-OneParagraphUnderHeading"/>
      </w:pPr>
      <w:r>
        <w:t>A quantitative assessment output equal to the average number of future events expected to occur within a given time.</w:t>
      </w:r>
      <w:r w:rsidR="00E442E7">
        <w:t xml:space="preserve"> </w:t>
      </w:r>
      <w:r>
        <w:t>Risk factors can be differentiated into three types</w:t>
      </w:r>
      <w:r w:rsidR="002429F5">
        <w:t>;</w:t>
      </w:r>
      <w:r>
        <w:t xml:space="preserve"> </w:t>
      </w:r>
      <w:r w:rsidR="00C17EDC">
        <w:t>uncorrected, control program, and corrected</w:t>
      </w:r>
      <w:r w:rsidR="001B51E2">
        <w:t>.</w:t>
      </w:r>
      <w:r w:rsidR="00E442E7">
        <w:t xml:space="preserve"> </w:t>
      </w:r>
      <w:r w:rsidR="001B51E2">
        <w:t>T</w:t>
      </w:r>
      <w:r>
        <w:t>ypically</w:t>
      </w:r>
      <w:r w:rsidR="001B51E2">
        <w:t>, they</w:t>
      </w:r>
      <w:r>
        <w:t xml:space="preserve"> cover the time required for problem resolution.</w:t>
      </w:r>
      <w:r w:rsidR="00E442E7">
        <w:t xml:space="preserve"> </w:t>
      </w:r>
      <w:r>
        <w:t>However, in the case of uncorrected and control program risk factors</w:t>
      </w:r>
      <w:r w:rsidR="001B51E2">
        <w:t xml:space="preserve">, </w:t>
      </w:r>
      <w:r>
        <w:t>control programs that do not incorporate final corrective actions</w:t>
      </w:r>
      <w:r w:rsidR="0006207F">
        <w:t>, such as</w:t>
      </w:r>
      <w:r>
        <w:t xml:space="preserve"> recurring inspections, usually cover </w:t>
      </w:r>
      <w:r w:rsidR="0084242D">
        <w:t xml:space="preserve">a period of </w:t>
      </w:r>
      <w:r>
        <w:t>20</w:t>
      </w:r>
      <w:r w:rsidR="00D76EEE">
        <w:t xml:space="preserve"> </w:t>
      </w:r>
      <w:r>
        <w:t>year</w:t>
      </w:r>
      <w:r w:rsidR="00D76EEE">
        <w:t>s</w:t>
      </w:r>
      <w:r>
        <w:t xml:space="preserve"> or shorter</w:t>
      </w:r>
      <w:r w:rsidR="006A5CB0">
        <w:t xml:space="preserve"> </w:t>
      </w:r>
      <w:r w:rsidR="0084242D">
        <w:t xml:space="preserve">that </w:t>
      </w:r>
      <w:r>
        <w:t>correspond to the expected life of the fleet.</w:t>
      </w:r>
    </w:p>
    <w:p w14:paraId="2A7A8181" w14:textId="6EDEBFF8" w:rsidR="00584062" w:rsidRPr="00E93368" w:rsidRDefault="00584062" w:rsidP="00584062">
      <w:pPr>
        <w:pStyle w:val="Levels1-3-Bullet"/>
        <w:rPr>
          <w:rStyle w:val="Lead-in-Underlinenobold"/>
          <w:u w:val="none"/>
        </w:rPr>
      </w:pPr>
      <w:r w:rsidRPr="00F9303E">
        <w:rPr>
          <w:rStyle w:val="Lead-in-Underlinenobold"/>
        </w:rPr>
        <w:t>Uncorrected Risk Factor.</w:t>
      </w:r>
      <w:r w:rsidR="00E442E7">
        <w:t xml:space="preserve"> </w:t>
      </w:r>
      <w:r w:rsidRPr="00201BB6">
        <w:t>The forecasted number of future events expected to occur in the entire worldwide fleet</w:t>
      </w:r>
      <w:r w:rsidR="00182725">
        <w:t xml:space="preserve"> </w:t>
      </w:r>
      <w:bookmarkStart w:id="15" w:name="_Hlk151796421"/>
      <w:r w:rsidR="00182725">
        <w:t xml:space="preserve">of transport category airplanes installed with the model </w:t>
      </w:r>
      <w:r w:rsidR="00182725">
        <w:lastRenderedPageBreak/>
        <w:t>of engine being analyzed</w:t>
      </w:r>
      <w:bookmarkEnd w:id="15"/>
      <w:r w:rsidR="00182725">
        <w:t>,</w:t>
      </w:r>
      <w:r w:rsidRPr="00201BB6">
        <w:t xml:space="preserve"> or</w:t>
      </w:r>
      <w:r>
        <w:t>,</w:t>
      </w:r>
      <w:r w:rsidRPr="00201BB6">
        <w:t xml:space="preserve"> if applicable, the relevant affected </w:t>
      </w:r>
      <w:proofErr w:type="spellStart"/>
      <w:r w:rsidRPr="00201BB6">
        <w:t>subfleet</w:t>
      </w:r>
      <w:proofErr w:type="spellEnd"/>
      <w:r w:rsidRPr="00201BB6">
        <w:t xml:space="preserve"> if no corrective actions are incorporated.</w:t>
      </w:r>
    </w:p>
    <w:p w14:paraId="38C6FA3F" w14:textId="310AA7DE" w:rsidR="00583453" w:rsidRPr="00201BB6" w:rsidRDefault="00583453" w:rsidP="002A3591">
      <w:pPr>
        <w:pStyle w:val="Levels1-3-Bullet"/>
      </w:pPr>
      <w:r w:rsidRPr="00BB6D90">
        <w:rPr>
          <w:rStyle w:val="Lead-in-Underlinenobold"/>
        </w:rPr>
        <w:t>Control Program Risk Factor.</w:t>
      </w:r>
      <w:r w:rsidR="00E442E7">
        <w:t xml:space="preserve"> </w:t>
      </w:r>
      <w:r w:rsidRPr="00201BB6">
        <w:t>The forecasted number of future events expected to occur in the entire worldwide fleet</w:t>
      </w:r>
      <w:r w:rsidR="00192626">
        <w:t xml:space="preserve"> </w:t>
      </w:r>
      <w:r w:rsidR="00192626" w:rsidRPr="00192626">
        <w:t>of transport category airplanes installed with the model of engine being analyzed</w:t>
      </w:r>
      <w:r w:rsidR="0074103C">
        <w:t>,</w:t>
      </w:r>
      <w:r w:rsidRPr="00201BB6">
        <w:t xml:space="preserve"> or, if applicable, the relevant affected </w:t>
      </w:r>
      <w:proofErr w:type="spellStart"/>
      <w:r w:rsidRPr="00201BB6">
        <w:t>subfleet</w:t>
      </w:r>
      <w:proofErr w:type="spellEnd"/>
      <w:r w:rsidRPr="00201BB6">
        <w:t xml:space="preserve"> during the control program.</w:t>
      </w:r>
    </w:p>
    <w:p w14:paraId="447B0832" w14:textId="2DA28313" w:rsidR="00B24B42" w:rsidRPr="00201BB6" w:rsidRDefault="00583453" w:rsidP="002A3591">
      <w:pPr>
        <w:pStyle w:val="Levels1-3-Bullet"/>
      </w:pPr>
      <w:r w:rsidRPr="00F9303E">
        <w:rPr>
          <w:rStyle w:val="Lead-in-Underlinenobold"/>
        </w:rPr>
        <w:t>Corrected Risk Factor.</w:t>
      </w:r>
      <w:r w:rsidR="00E442E7">
        <w:t xml:space="preserve"> </w:t>
      </w:r>
      <w:r w:rsidRPr="00201BB6">
        <w:t>The forecasted number of future events expected to occur after the entire</w:t>
      </w:r>
      <w:r w:rsidR="0058501F">
        <w:t xml:space="preserve"> affected population incorporates the final corrective actions</w:t>
      </w:r>
      <w:r w:rsidRPr="00201BB6">
        <w:t>.</w:t>
      </w:r>
      <w:r w:rsidR="00E442E7">
        <w:t xml:space="preserve"> </w:t>
      </w:r>
      <w:r w:rsidR="0058501F">
        <w:t>The affected population may be the entire worldwide fleet</w:t>
      </w:r>
      <w:r w:rsidR="00192626">
        <w:t xml:space="preserve"> </w:t>
      </w:r>
      <w:r w:rsidR="00192626" w:rsidRPr="00192626">
        <w:t>of transport category airplanes installed with the model of engine being analyzed</w:t>
      </w:r>
      <w:r w:rsidR="0058501F">
        <w:t xml:space="preserve"> or relevant affected </w:t>
      </w:r>
      <w:proofErr w:type="spellStart"/>
      <w:r w:rsidR="0058501F">
        <w:t>subfleet</w:t>
      </w:r>
      <w:proofErr w:type="spellEnd"/>
      <w:r w:rsidR="0058501F">
        <w:t>, depending on the issue.</w:t>
      </w:r>
      <w:r w:rsidR="00E442E7">
        <w:t xml:space="preserve"> </w:t>
      </w:r>
      <w:r w:rsidRPr="00201BB6">
        <w:t xml:space="preserve">Note that this number should be consistent with the long-term acceptable risk guidelines listed </w:t>
      </w:r>
      <w:r w:rsidR="004B0390">
        <w:t>in</w:t>
      </w:r>
      <w:r w:rsidR="004B0390" w:rsidRPr="00201BB6">
        <w:t xml:space="preserve"> </w:t>
      </w:r>
      <w:r w:rsidR="00795DF5">
        <w:t>t</w:t>
      </w:r>
      <w:r w:rsidR="00D53BD5" w:rsidRPr="00201BB6">
        <w:t xml:space="preserve">able </w:t>
      </w:r>
      <w:r w:rsidRPr="00201BB6">
        <w:t>1 of this AC.</w:t>
      </w:r>
    </w:p>
    <w:p w14:paraId="2C81220F" w14:textId="16A30C60" w:rsidR="00C30937" w:rsidRDefault="00206D22" w:rsidP="00F9303E">
      <w:pPr>
        <w:pStyle w:val="Heading2"/>
      </w:pPr>
      <w:r w:rsidRPr="007A4140">
        <w:rPr>
          <w:rStyle w:val="Lead-in-Bold"/>
        </w:rPr>
        <w:t>Unsafe Condition.</w:t>
      </w:r>
    </w:p>
    <w:p w14:paraId="3EF640AE" w14:textId="41F9F036" w:rsidR="00206D22" w:rsidRDefault="00206D22" w:rsidP="00C30937">
      <w:pPr>
        <w:pStyle w:val="Levels1-3-OneParagraphUnderHeading"/>
      </w:pPr>
      <w:r>
        <w:t>A condition</w:t>
      </w:r>
      <w:r w:rsidR="004B0390">
        <w:t>,</w:t>
      </w:r>
      <w:r>
        <w:t xml:space="preserve"> which, if not corrected, is reasonably expected to result in one or more serious</w:t>
      </w:r>
      <w:r w:rsidR="009A407E">
        <w:t xml:space="preserve"> or fatal injuries</w:t>
      </w:r>
      <w:r>
        <w:t>.</w:t>
      </w:r>
    </w:p>
    <w:p w14:paraId="081C16E0" w14:textId="34F949A8" w:rsidR="00BE2DB6" w:rsidRDefault="00BE2DB6" w:rsidP="002A3591">
      <w:pPr>
        <w:pStyle w:val="Levels1-3-Bullet"/>
      </w:pPr>
      <w:r w:rsidRPr="00083178">
        <w:rPr>
          <w:u w:val="single"/>
        </w:rPr>
        <w:t>Is Reasonably Expected</w:t>
      </w:r>
      <w:r w:rsidRPr="00E93368">
        <w:rPr>
          <w:u w:val="single"/>
        </w:rPr>
        <w:t>.</w:t>
      </w:r>
      <w:r w:rsidR="00E442E7">
        <w:t xml:space="preserve"> </w:t>
      </w:r>
      <w:r w:rsidRPr="00BB6D90">
        <w:t xml:space="preserve">Has a probability of occurrence that is </w:t>
      </w:r>
      <w:r w:rsidR="00527288">
        <w:t xml:space="preserve">not acceptable </w:t>
      </w:r>
      <w:r w:rsidRPr="00BB6D90">
        <w:t xml:space="preserve">to the long-term risk guidelines listed </w:t>
      </w:r>
      <w:r w:rsidRPr="002A3591">
        <w:t xml:space="preserve">in </w:t>
      </w:r>
      <w:r w:rsidR="00795DF5">
        <w:t>t</w:t>
      </w:r>
      <w:r w:rsidRPr="002A3591">
        <w:t xml:space="preserve">able 1 of this AC </w:t>
      </w:r>
      <w:r w:rsidR="00AB0EF9">
        <w:t>and</w:t>
      </w:r>
      <w:r w:rsidRPr="002A3591">
        <w:t xml:space="preserve"> the intent of the applicable product design standards.</w:t>
      </w:r>
    </w:p>
    <w:p w14:paraId="38A643AD" w14:textId="7403D537" w:rsidR="009A407E" w:rsidRPr="002A3591" w:rsidRDefault="009A407E" w:rsidP="002A3591">
      <w:pPr>
        <w:pStyle w:val="Levels1-3-Bullet"/>
      </w:pPr>
      <w:r>
        <w:rPr>
          <w:u w:val="single"/>
        </w:rPr>
        <w:t xml:space="preserve">Fatal </w:t>
      </w:r>
      <w:r w:rsidR="0058501F">
        <w:rPr>
          <w:u w:val="single"/>
        </w:rPr>
        <w:t>I</w:t>
      </w:r>
      <w:r>
        <w:rPr>
          <w:u w:val="single"/>
        </w:rPr>
        <w:t>njury</w:t>
      </w:r>
      <w:r w:rsidRPr="00E93368">
        <w:rPr>
          <w:u w:val="single"/>
        </w:rPr>
        <w:t>.</w:t>
      </w:r>
      <w:r w:rsidR="00E442E7">
        <w:t xml:space="preserve"> </w:t>
      </w:r>
      <w:r>
        <w:t>As defined by the National Transportation Safety Board (NTSB),</w:t>
      </w:r>
      <w:r w:rsidR="00780B4B">
        <w:rPr>
          <w:rStyle w:val="FootnoteReference"/>
        </w:rPr>
        <w:footnoteReference w:id="2"/>
      </w:r>
      <w:r>
        <w:t xml:space="preserve"> any injury that results in death within 30 days of the accident.</w:t>
      </w:r>
    </w:p>
    <w:p w14:paraId="5D7F1571" w14:textId="38DBB602" w:rsidR="00F16724" w:rsidRDefault="00583453" w:rsidP="002A3591">
      <w:pPr>
        <w:pStyle w:val="Levels1-3-Bullet"/>
      </w:pPr>
      <w:r w:rsidRPr="00B24B42">
        <w:rPr>
          <w:rStyle w:val="Lead-in-Underlinenobold"/>
        </w:rPr>
        <w:t>Serious Injury.</w:t>
      </w:r>
      <w:r w:rsidR="00E442E7">
        <w:t xml:space="preserve"> </w:t>
      </w:r>
      <w:r>
        <w:t>As defined by the NTSB, any injury that requires</w:t>
      </w:r>
      <w:r w:rsidR="00F16724">
        <w:t>:</w:t>
      </w:r>
    </w:p>
    <w:p w14:paraId="6F6688D5" w14:textId="7E771C12" w:rsidR="00F16724" w:rsidRDefault="00C34435" w:rsidP="004369C8">
      <w:pPr>
        <w:pStyle w:val="Levels1-3-OrderedList"/>
      </w:pPr>
      <w:r>
        <w:t>Requires h</w:t>
      </w:r>
      <w:r w:rsidR="00583453">
        <w:t xml:space="preserve">ospitalization for more than 48 hours, commencing within </w:t>
      </w:r>
      <w:r w:rsidR="004369C8">
        <w:t>7</w:t>
      </w:r>
      <w:r w:rsidR="00583453">
        <w:t xml:space="preserve"> days from the date the injury was </w:t>
      </w:r>
      <w:proofErr w:type="gramStart"/>
      <w:r w:rsidR="00583453">
        <w:t>received;</w:t>
      </w:r>
      <w:proofErr w:type="gramEnd"/>
    </w:p>
    <w:p w14:paraId="4B9C4C17" w14:textId="3C481C5D" w:rsidR="00F16724" w:rsidRDefault="003E0F84" w:rsidP="004369C8">
      <w:pPr>
        <w:pStyle w:val="Levels1-3-OrderedList"/>
      </w:pPr>
      <w:r>
        <w:t>R</w:t>
      </w:r>
      <w:r w:rsidR="00583453">
        <w:t>esults in the fracture of any bone (except simple fractures of fingers, toes, or nose</w:t>
      </w:r>
      <w:proofErr w:type="gramStart"/>
      <w:r w:rsidR="00583453">
        <w:t>);</w:t>
      </w:r>
      <w:proofErr w:type="gramEnd"/>
    </w:p>
    <w:p w14:paraId="461FD9CF" w14:textId="1AC4C400" w:rsidR="009A407E" w:rsidRDefault="003E0F84" w:rsidP="004369C8">
      <w:pPr>
        <w:pStyle w:val="Levels1-3-OrderedList"/>
      </w:pPr>
      <w:r>
        <w:t>C</w:t>
      </w:r>
      <w:r w:rsidR="00583453">
        <w:t xml:space="preserve">auses severe hemorrhages, nerve, muscle or tendon </w:t>
      </w:r>
      <w:proofErr w:type="gramStart"/>
      <w:r w:rsidR="00583453">
        <w:t>damage;</w:t>
      </w:r>
      <w:proofErr w:type="gramEnd"/>
    </w:p>
    <w:p w14:paraId="4EF3B0AA" w14:textId="77777777" w:rsidR="00F16724" w:rsidRDefault="009A407E" w:rsidP="004369C8">
      <w:pPr>
        <w:pStyle w:val="Levels1-3-OrderedList"/>
      </w:pPr>
      <w:r>
        <w:t>I</w:t>
      </w:r>
      <w:r w:rsidR="00583453">
        <w:t xml:space="preserve">nvolves </w:t>
      </w:r>
      <w:r w:rsidR="004E6297">
        <w:t xml:space="preserve">injury to </w:t>
      </w:r>
      <w:r w:rsidR="00583453">
        <w:t>any internal organ;</w:t>
      </w:r>
      <w:r w:rsidR="00F16724">
        <w:t xml:space="preserve"> or</w:t>
      </w:r>
    </w:p>
    <w:p w14:paraId="75CD5B1F" w14:textId="77777777" w:rsidR="00F16724" w:rsidRDefault="003E0F84" w:rsidP="004369C8">
      <w:pPr>
        <w:pStyle w:val="Levels1-3-OrderedList"/>
      </w:pPr>
      <w:r>
        <w:t>I</w:t>
      </w:r>
      <w:r w:rsidR="00583453">
        <w:t>nvolves second- or third-degree burns, or any burns affecting more than 5 percent of the body surface</w:t>
      </w:r>
      <w:r w:rsidR="004369C8">
        <w:t>.</w:t>
      </w:r>
    </w:p>
    <w:p w14:paraId="7AA6E35E" w14:textId="77777777" w:rsidR="0055213A" w:rsidRDefault="0055213A" w:rsidP="0055213A">
      <w:pPr>
        <w:pStyle w:val="Heading1"/>
      </w:pPr>
      <w:r>
        <w:t>PRINCIPAL REVISIONS.</w:t>
      </w:r>
    </w:p>
    <w:p w14:paraId="6D48D9B6" w14:textId="6F07B3AE" w:rsidR="0055213A" w:rsidRDefault="0055213A" w:rsidP="003F4311">
      <w:pPr>
        <w:pStyle w:val="Levels1-3-OneParagraphUnderHeading"/>
      </w:pPr>
      <w:r>
        <w:t xml:space="preserve">This AC revision makes the hazard level (HL) and failure condition definitions consistent with the CAAM reports. This AC also updates the hazard ratio data in Appendix D with a new format and additional data based on the CAAM 3 report. Guidance has been added on calculating a Level 4 hazard ratio when there have not been any L4 events. The term “excessive” has been replaced with “elevated” when referring to increasing levels of risk. References in the document were updated and outdated information was removed, including several appendices. The document was also reformatted.  </w:t>
      </w:r>
    </w:p>
    <w:p w14:paraId="622DADA5" w14:textId="2A6B3123" w:rsidR="00B65AA0" w:rsidRPr="00C30937" w:rsidRDefault="00B65AA0" w:rsidP="00C30937">
      <w:pPr>
        <w:pStyle w:val="Heading1"/>
        <w:rPr>
          <w:rStyle w:val="Lead-in-Bold"/>
          <w:b/>
          <w:szCs w:val="24"/>
        </w:rPr>
      </w:pPr>
      <w:r w:rsidRPr="00CC53DD">
        <w:lastRenderedPageBreak/>
        <w:t>BACKGROUND</w:t>
      </w:r>
      <w:r w:rsidRPr="00C30937">
        <w:rPr>
          <w:rStyle w:val="Lead-in-Bold"/>
          <w:b/>
          <w:szCs w:val="24"/>
        </w:rPr>
        <w:t>.</w:t>
      </w:r>
    </w:p>
    <w:p w14:paraId="030646B6" w14:textId="7943E2AB" w:rsidR="00941A84" w:rsidRDefault="000C4573" w:rsidP="003F4311">
      <w:pPr>
        <w:pStyle w:val="Heading2"/>
      </w:pPr>
      <w:r w:rsidRPr="009F3EAF">
        <w:t xml:space="preserve">In 1991, the </w:t>
      </w:r>
      <w:r w:rsidR="007A771C">
        <w:t xml:space="preserve">AIA </w:t>
      </w:r>
      <w:r w:rsidR="009D0615">
        <w:t xml:space="preserve">tasked </w:t>
      </w:r>
      <w:r w:rsidR="00506C3C">
        <w:t xml:space="preserve">a working group </w:t>
      </w:r>
      <w:r w:rsidR="00CA0B2A">
        <w:t xml:space="preserve">called </w:t>
      </w:r>
      <w:r w:rsidR="009C28C4">
        <w:t>“</w:t>
      </w:r>
      <w:r w:rsidR="00620003" w:rsidRPr="00B936FE">
        <w:t xml:space="preserve">the CAAM </w:t>
      </w:r>
      <w:r w:rsidR="00A7269E">
        <w:t>c</w:t>
      </w:r>
      <w:r w:rsidR="00092FCE" w:rsidRPr="00B936FE">
        <w:t>ommittee</w:t>
      </w:r>
      <w:r w:rsidR="009C28C4">
        <w:t>”</w:t>
      </w:r>
      <w:r w:rsidR="00A66DFE">
        <w:t xml:space="preserve"> (here after referred to “the CAAM”)</w:t>
      </w:r>
      <w:r w:rsidRPr="00B936FE">
        <w:t xml:space="preserve"> </w:t>
      </w:r>
      <w:r w:rsidR="005122A7">
        <w:t>with</w:t>
      </w:r>
      <w:r w:rsidRPr="00B936FE">
        <w:t xml:space="preserve"> </w:t>
      </w:r>
      <w:r w:rsidR="00811B21">
        <w:t>develop</w:t>
      </w:r>
      <w:r w:rsidR="005122A7">
        <w:t>ing</w:t>
      </w:r>
      <w:r w:rsidR="00811B21">
        <w:t xml:space="preserve"> </w:t>
      </w:r>
      <w:r w:rsidR="005122A7">
        <w:t xml:space="preserve">effective </w:t>
      </w:r>
      <w:r w:rsidRPr="009F3EAF">
        <w:t xml:space="preserve">methods </w:t>
      </w:r>
      <w:r w:rsidR="0006207F">
        <w:t xml:space="preserve">for </w:t>
      </w:r>
      <w:r w:rsidRPr="009F3EAF">
        <w:t>identify</w:t>
      </w:r>
      <w:r w:rsidR="0006207F">
        <w:t>ing</w:t>
      </w:r>
      <w:r w:rsidRPr="009F3EAF">
        <w:t>, prioritiz</w:t>
      </w:r>
      <w:r w:rsidR="0006207F">
        <w:t>ing</w:t>
      </w:r>
      <w:r w:rsidRPr="009F3EAF">
        <w:t>, and resolv</w:t>
      </w:r>
      <w:r w:rsidR="0006207F">
        <w:t>ing</w:t>
      </w:r>
      <w:r w:rsidRPr="009F3EAF">
        <w:t xml:space="preserve"> safety-related problems occurring on </w:t>
      </w:r>
      <w:r w:rsidR="005122A7">
        <w:t xml:space="preserve">commercial </w:t>
      </w:r>
      <w:r w:rsidR="0041521B">
        <w:t>airplane</w:t>
      </w:r>
      <w:r w:rsidR="0041521B" w:rsidRPr="00B936FE">
        <w:t xml:space="preserve"> </w:t>
      </w:r>
      <w:r w:rsidRPr="00B936FE">
        <w:t>engines</w:t>
      </w:r>
      <w:r w:rsidR="00011EA9">
        <w:t>.</w:t>
      </w:r>
      <w:r w:rsidR="00E442E7">
        <w:t xml:space="preserve"> </w:t>
      </w:r>
      <w:r w:rsidR="00167914">
        <w:t xml:space="preserve">The </w:t>
      </w:r>
      <w:r w:rsidR="009C28C4">
        <w:t xml:space="preserve">CAAM </w:t>
      </w:r>
      <w:r w:rsidR="00FA1578">
        <w:t>analyz</w:t>
      </w:r>
      <w:r w:rsidR="00167914">
        <w:t xml:space="preserve">ed </w:t>
      </w:r>
      <w:r w:rsidR="00804AC7">
        <w:t>10</w:t>
      </w:r>
      <w:r w:rsidR="00804AC7" w:rsidRPr="00847B4E">
        <w:t xml:space="preserve"> </w:t>
      </w:r>
      <w:r w:rsidRPr="00847B4E">
        <w:t>years of engine, propeller</w:t>
      </w:r>
      <w:r w:rsidR="000C11BD" w:rsidRPr="00847B4E">
        <w:t>,</w:t>
      </w:r>
      <w:r w:rsidRPr="00847B4E">
        <w:t xml:space="preserve"> and APU events</w:t>
      </w:r>
      <w:r w:rsidR="00167914">
        <w:t xml:space="preserve"> and</w:t>
      </w:r>
      <w:r w:rsidR="0012086D">
        <w:t xml:space="preserve"> developed </w:t>
      </w:r>
      <w:r w:rsidR="008F63FD">
        <w:t>an event</w:t>
      </w:r>
      <w:r w:rsidR="00473094">
        <w:t xml:space="preserve"> </w:t>
      </w:r>
      <w:r w:rsidR="004D7896">
        <w:t>characterization system</w:t>
      </w:r>
      <w:r w:rsidR="002F220B">
        <w:t>.</w:t>
      </w:r>
      <w:r w:rsidR="00E442E7">
        <w:t xml:space="preserve"> </w:t>
      </w:r>
      <w:r w:rsidR="00862F3E">
        <w:t xml:space="preserve">The CAAM then grouped the events </w:t>
      </w:r>
      <w:r w:rsidR="004D7896">
        <w:t>by</w:t>
      </w:r>
      <w:r w:rsidRPr="004638AA">
        <w:t xml:space="preserve"> cause</w:t>
      </w:r>
      <w:r w:rsidR="002F220B">
        <w:t xml:space="preserve"> (</w:t>
      </w:r>
      <w:proofErr w:type="spellStart"/>
      <w:r w:rsidRPr="004638AA">
        <w:t>uncontainment</w:t>
      </w:r>
      <w:proofErr w:type="spellEnd"/>
      <w:r w:rsidRPr="004638AA">
        <w:t>, fire, etc.</w:t>
      </w:r>
      <w:r w:rsidR="002F220B">
        <w:t>)</w:t>
      </w:r>
      <w:r w:rsidR="001B0C1E">
        <w:t xml:space="preserve"> and </w:t>
      </w:r>
      <w:r w:rsidR="004D7896">
        <w:t xml:space="preserve">assigned </w:t>
      </w:r>
      <w:r w:rsidR="00A7269E">
        <w:t>a</w:t>
      </w:r>
      <w:r w:rsidR="00A63B2D">
        <w:t>n</w:t>
      </w:r>
      <w:r w:rsidR="00A7269E">
        <w:t xml:space="preserve"> </w:t>
      </w:r>
      <w:r w:rsidR="00E162F8">
        <w:t>HL</w:t>
      </w:r>
      <w:r w:rsidR="00A76F56">
        <w:t>.</w:t>
      </w:r>
    </w:p>
    <w:p w14:paraId="10FBAB69" w14:textId="701506D1" w:rsidR="00941A84" w:rsidRDefault="001B0C1E" w:rsidP="003F4311">
      <w:pPr>
        <w:pStyle w:val="Heading2"/>
      </w:pPr>
      <w:r>
        <w:t xml:space="preserve">For each cause, </w:t>
      </w:r>
      <w:r w:rsidR="00862F3E">
        <w:t xml:space="preserve">the CAAM calculated </w:t>
      </w:r>
      <w:r>
        <w:t>t</w:t>
      </w:r>
      <w:r w:rsidR="009A111C">
        <w:t>he h</w:t>
      </w:r>
      <w:r w:rsidR="009A111C" w:rsidRPr="00205312">
        <w:t xml:space="preserve">istorical </w:t>
      </w:r>
      <w:r w:rsidR="000C4573" w:rsidRPr="00205312">
        <w:t>conditional probabilities of the most serious events</w:t>
      </w:r>
      <w:r w:rsidR="001C5A57">
        <w:t xml:space="preserve">, </w:t>
      </w:r>
      <w:r w:rsidR="00E162F8">
        <w:t>HL</w:t>
      </w:r>
      <w:r w:rsidR="000C4573" w:rsidRPr="00205312">
        <w:t>s 3 and 4</w:t>
      </w:r>
      <w:r w:rsidR="001C5A57">
        <w:t>,</w:t>
      </w:r>
      <w:r w:rsidR="000C4573" w:rsidRPr="00205312">
        <w:t xml:space="preserve"> </w:t>
      </w:r>
      <w:r w:rsidR="004D7896">
        <w:t xml:space="preserve">using </w:t>
      </w:r>
      <w:r w:rsidR="000C4573" w:rsidRPr="00205312">
        <w:t xml:space="preserve">a methodology </w:t>
      </w:r>
      <w:r w:rsidR="00620003" w:rsidRPr="000C067E">
        <w:t>to</w:t>
      </w:r>
      <w:r w:rsidR="000C4573" w:rsidRPr="000C067E">
        <w:t xml:space="preserve"> estimat</w:t>
      </w:r>
      <w:r w:rsidR="00620003" w:rsidRPr="000C067E">
        <w:t>e</w:t>
      </w:r>
      <w:r w:rsidR="000C4573" w:rsidRPr="000C067E">
        <w:t xml:space="preserve"> the risks of safety-related problems occurring on </w:t>
      </w:r>
      <w:r w:rsidR="00E2753C">
        <w:t>airplane</w:t>
      </w:r>
      <w:r w:rsidR="00E2753C" w:rsidRPr="000C067E">
        <w:t xml:space="preserve"> </w:t>
      </w:r>
      <w:r w:rsidR="000C4573" w:rsidRPr="000C067E">
        <w:t>engines, propellers, and APUs.</w:t>
      </w:r>
      <w:r w:rsidR="00E442E7">
        <w:t xml:space="preserve"> </w:t>
      </w:r>
      <w:r w:rsidR="009D0615">
        <w:t xml:space="preserve">In 1994, </w:t>
      </w:r>
      <w:r w:rsidR="00862F3E">
        <w:t xml:space="preserve">the CAAM first published </w:t>
      </w:r>
      <w:r w:rsidR="009D0615">
        <w:t>t</w:t>
      </w:r>
      <w:r w:rsidR="00A7269E">
        <w:t>he</w:t>
      </w:r>
      <w:r w:rsidR="009D0615">
        <w:t>se</w:t>
      </w:r>
      <w:r w:rsidR="00A7269E">
        <w:t xml:space="preserve"> results </w:t>
      </w:r>
      <w:r w:rsidR="005176F7">
        <w:t xml:space="preserve">in </w:t>
      </w:r>
      <w:r w:rsidR="00473094">
        <w:t xml:space="preserve">the </w:t>
      </w:r>
      <w:r w:rsidR="00473094" w:rsidRPr="00352468">
        <w:t>AIA</w:t>
      </w:r>
      <w:r w:rsidR="00DF148F" w:rsidRPr="00352468">
        <w:t xml:space="preserve"> </w:t>
      </w:r>
      <w:r w:rsidR="00473094" w:rsidRPr="00352468">
        <w:t>PC-342</w:t>
      </w:r>
      <w:r w:rsidR="008F63FD">
        <w:t xml:space="preserve"> </w:t>
      </w:r>
      <w:r w:rsidR="00A7269E">
        <w:t>and</w:t>
      </w:r>
      <w:r w:rsidR="00473094">
        <w:t xml:space="preserve"> </w:t>
      </w:r>
      <w:r w:rsidR="00473094" w:rsidRPr="000C067E">
        <w:t>AIA PC-342-1</w:t>
      </w:r>
      <w:r w:rsidR="00BE7D64">
        <w:t>.</w:t>
      </w:r>
    </w:p>
    <w:p w14:paraId="0D6B76AD" w14:textId="2E89F033" w:rsidR="00473094" w:rsidRDefault="00A7269E" w:rsidP="003F4311">
      <w:pPr>
        <w:pStyle w:val="Heading2"/>
      </w:pPr>
      <w:r>
        <w:t xml:space="preserve">Since </w:t>
      </w:r>
      <w:r w:rsidR="005176F7">
        <w:t>then</w:t>
      </w:r>
      <w:r>
        <w:t xml:space="preserve">, </w:t>
      </w:r>
      <w:r w:rsidR="000E3387">
        <w:t>t</w:t>
      </w:r>
      <w:r w:rsidR="00473094" w:rsidRPr="00254397">
        <w:t xml:space="preserve">he </w:t>
      </w:r>
      <w:r w:rsidR="00473094">
        <w:t xml:space="preserve">CAAM </w:t>
      </w:r>
      <w:r>
        <w:t xml:space="preserve">has </w:t>
      </w:r>
      <w:r w:rsidR="00473094">
        <w:t>update</w:t>
      </w:r>
      <w:r w:rsidR="00BE7D64">
        <w:t>d</w:t>
      </w:r>
      <w:r w:rsidR="00473094" w:rsidRPr="00254397">
        <w:t xml:space="preserve"> the database </w:t>
      </w:r>
      <w:r w:rsidR="00473094">
        <w:t xml:space="preserve">of </w:t>
      </w:r>
      <w:r w:rsidR="00BB4676">
        <w:t xml:space="preserve">the </w:t>
      </w:r>
      <w:r w:rsidR="00473094">
        <w:t xml:space="preserve">safety-significant propulsion system and APU </w:t>
      </w:r>
      <w:r w:rsidR="000F4714">
        <w:t xml:space="preserve">historical malfunctions for </w:t>
      </w:r>
      <w:r w:rsidR="00473094">
        <w:t>1992</w:t>
      </w:r>
      <w:r w:rsidR="00993F30">
        <w:t xml:space="preserve"> </w:t>
      </w:r>
      <w:r>
        <w:t>through</w:t>
      </w:r>
      <w:r w:rsidR="00473094">
        <w:t xml:space="preserve"> 2000 and 2001 </w:t>
      </w:r>
      <w:r>
        <w:t>through</w:t>
      </w:r>
      <w:r w:rsidR="00473094">
        <w:t xml:space="preserve"> </w:t>
      </w:r>
      <w:r w:rsidR="00473094" w:rsidRPr="00254397">
        <w:t>2012</w:t>
      </w:r>
      <w:r w:rsidR="00BE7D64">
        <w:t xml:space="preserve"> and published </w:t>
      </w:r>
      <w:r w:rsidR="006D5086">
        <w:t xml:space="preserve">all </w:t>
      </w:r>
      <w:r w:rsidR="006D5086" w:rsidRPr="007C58E5">
        <w:t>three sets</w:t>
      </w:r>
      <w:r w:rsidR="006D5086">
        <w:t xml:space="preserve"> of</w:t>
      </w:r>
      <w:r w:rsidR="00BE7D64">
        <w:t xml:space="preserve"> results in reports in 1999, 2005, and 2017</w:t>
      </w:r>
      <w:r w:rsidR="008C603D">
        <w:t xml:space="preserve"> (“</w:t>
      </w:r>
      <w:hyperlink r:id="rId16" w:history="1">
        <w:r w:rsidR="008C603D" w:rsidRPr="00216C9B">
          <w:rPr>
            <w:rStyle w:val="Hyperlink"/>
            <w:i/>
            <w:iCs/>
          </w:rPr>
          <w:t>CAAM 1</w:t>
        </w:r>
      </w:hyperlink>
      <w:r w:rsidR="008C603D">
        <w:t>,” “</w:t>
      </w:r>
      <w:hyperlink r:id="rId17" w:history="1">
        <w:r w:rsidR="008C603D" w:rsidRPr="00216C9B">
          <w:rPr>
            <w:rStyle w:val="Hyperlink"/>
            <w:i/>
            <w:iCs/>
          </w:rPr>
          <w:t>CAAM 2</w:t>
        </w:r>
      </w:hyperlink>
      <w:r w:rsidR="008C603D">
        <w:t>,” and “</w:t>
      </w:r>
      <w:hyperlink r:id="rId18" w:history="1">
        <w:r w:rsidR="008C603D" w:rsidRPr="00216C9B">
          <w:rPr>
            <w:rStyle w:val="Hyperlink"/>
            <w:i/>
            <w:iCs/>
          </w:rPr>
          <w:t>CAAM 3</w:t>
        </w:r>
      </w:hyperlink>
      <w:r w:rsidR="008C603D">
        <w:rPr>
          <w:i/>
          <w:iCs/>
        </w:rPr>
        <w:t>”</w:t>
      </w:r>
      <w:r w:rsidR="000619D0">
        <w:rPr>
          <w:i/>
          <w:iCs/>
        </w:rPr>
        <w:t xml:space="preserve"> reports</w:t>
      </w:r>
      <w:r w:rsidR="008C603D">
        <w:t>)</w:t>
      </w:r>
      <w:r>
        <w:t>.</w:t>
      </w:r>
      <w:r w:rsidR="008C603D">
        <w:rPr>
          <w:rStyle w:val="FootnoteReference"/>
        </w:rPr>
        <w:footnoteReference w:id="3"/>
      </w:r>
      <w:r w:rsidR="00E442E7">
        <w:t xml:space="preserve"> </w:t>
      </w:r>
      <w:r w:rsidR="00D43B59">
        <w:t>T</w:t>
      </w:r>
      <w:r w:rsidR="00D43B59" w:rsidRPr="00254397">
        <w:t xml:space="preserve">he </w:t>
      </w:r>
      <w:r w:rsidR="00D43B59">
        <w:t>FAA has used the</w:t>
      </w:r>
      <w:r w:rsidR="00BE7D64">
        <w:t xml:space="preserve"> information in these reports</w:t>
      </w:r>
      <w:r w:rsidR="00D43B59" w:rsidRPr="00254397">
        <w:t xml:space="preserve"> to help identify and prioritize responses to potential engine, propeller, and APU unsafe conditions</w:t>
      </w:r>
      <w:r w:rsidR="00D43B59">
        <w:t>.</w:t>
      </w:r>
    </w:p>
    <w:p w14:paraId="6EB47541" w14:textId="77777777" w:rsidR="001F5C1B" w:rsidRPr="00A47333" w:rsidRDefault="005171E8" w:rsidP="0099285B">
      <w:pPr>
        <w:pStyle w:val="Heading1"/>
        <w:numPr>
          <w:ilvl w:val="0"/>
          <w:numId w:val="7"/>
        </w:numPr>
      </w:pPr>
      <w:r>
        <w:t>identifying</w:t>
      </w:r>
      <w:r w:rsidR="007621F9" w:rsidRPr="00A47333">
        <w:t xml:space="preserve"> </w:t>
      </w:r>
      <w:r w:rsidR="001F5C1B" w:rsidRPr="00A47333">
        <w:t>UNSAFE CONDITION</w:t>
      </w:r>
      <w:r>
        <w:t>s</w:t>
      </w:r>
      <w:r w:rsidR="001F5C1B" w:rsidRPr="00A47333">
        <w:t>.</w:t>
      </w:r>
    </w:p>
    <w:p w14:paraId="1C03377A" w14:textId="5DFEA3BB" w:rsidR="00F82334" w:rsidRDefault="000C4573" w:rsidP="00E60066">
      <w:pPr>
        <w:pStyle w:val="Levels1-3-OneParagraphUnderHeading"/>
      </w:pPr>
      <w:r w:rsidRPr="000C4573">
        <w:t>When a potential unsafe condition is identified</w:t>
      </w:r>
      <w:r w:rsidR="00EF32FA">
        <w:t xml:space="preserve"> </w:t>
      </w:r>
      <w:r w:rsidR="00EF32FA" w:rsidRPr="00EF32FA">
        <w:t>by the stakeholder, the stakeholder should conduct a quantitative or qualitative assessment</w:t>
      </w:r>
      <w:r w:rsidR="00EF32FA" w:rsidRPr="00EF32FA" w:rsidDel="00EF32FA">
        <w:t xml:space="preserve"> </w:t>
      </w:r>
      <w:r w:rsidRPr="000C4573">
        <w:t>for the actual risk of the event of interest.</w:t>
      </w:r>
      <w:r w:rsidR="00E442E7">
        <w:t xml:space="preserve"> </w:t>
      </w:r>
      <w:r w:rsidR="00B70AA3" w:rsidRPr="00B70AA3">
        <w:t xml:space="preserve">See paragraph 10 for further guidance on performing the </w:t>
      </w:r>
      <w:r w:rsidR="00B70AA3" w:rsidRPr="00E93368">
        <w:t>assessment.</w:t>
      </w:r>
    </w:p>
    <w:p w14:paraId="4273F659" w14:textId="77777777" w:rsidR="00640000" w:rsidRPr="00F96C05" w:rsidRDefault="00640000" w:rsidP="000C4573">
      <w:pPr>
        <w:pStyle w:val="Heading2"/>
        <w:rPr>
          <w:rStyle w:val="Lead-in-Bold"/>
        </w:rPr>
      </w:pPr>
      <w:r w:rsidRPr="00F96C05">
        <w:rPr>
          <w:rStyle w:val="Lead-in-Bold"/>
        </w:rPr>
        <w:t>Root Cause Analysis</w:t>
      </w:r>
      <w:r w:rsidR="00244C7C">
        <w:rPr>
          <w:rStyle w:val="Lead-in-Bold"/>
        </w:rPr>
        <w:t xml:space="preserve"> and/or Contributing Factors</w:t>
      </w:r>
      <w:r w:rsidRPr="00F96C05">
        <w:rPr>
          <w:rStyle w:val="Lead-in-Bold"/>
        </w:rPr>
        <w:t>.</w:t>
      </w:r>
    </w:p>
    <w:p w14:paraId="75BE828E" w14:textId="06733258" w:rsidR="000C4573" w:rsidRPr="000C4573" w:rsidRDefault="00B15C99" w:rsidP="00E602A9">
      <w:pPr>
        <w:pStyle w:val="Levels1-3-OneParagraphUnderHeading"/>
      </w:pPr>
      <w:r>
        <w:t>The p</w:t>
      </w:r>
      <w:r w:rsidR="00CC73D4" w:rsidRPr="000C4573">
        <w:t xml:space="preserve">reliminary </w:t>
      </w:r>
      <w:r w:rsidR="000C4573" w:rsidRPr="000C4573">
        <w:t xml:space="preserve">information </w:t>
      </w:r>
      <w:r w:rsidR="00075CF0" w:rsidRPr="00C047AD">
        <w:t>received</w:t>
      </w:r>
      <w:r w:rsidR="007E732F">
        <w:t xml:space="preserve"> </w:t>
      </w:r>
      <w:r w:rsidR="00EE7F3A">
        <w:t xml:space="preserve">by the stakeholder </w:t>
      </w:r>
      <w:r w:rsidR="007E732F">
        <w:t>regarding the</w:t>
      </w:r>
      <w:r w:rsidR="00BE7D64">
        <w:t xml:space="preserve"> potential</w:t>
      </w:r>
      <w:r w:rsidR="007E732F">
        <w:t xml:space="preserve"> unsafe condition</w:t>
      </w:r>
      <w:r w:rsidR="000C4573" w:rsidRPr="000C4573">
        <w:t xml:space="preserve"> may be insufficient to </w:t>
      </w:r>
      <w:r w:rsidR="00075CF0">
        <w:t>determine the</w:t>
      </w:r>
      <w:r w:rsidR="00075CF0" w:rsidRPr="000C4573">
        <w:t xml:space="preserve"> </w:t>
      </w:r>
      <w:r w:rsidR="000C4573" w:rsidRPr="000C4573">
        <w:t>appropriate corrective action.</w:t>
      </w:r>
      <w:r w:rsidR="00E442E7">
        <w:t xml:space="preserve"> </w:t>
      </w:r>
      <w:r w:rsidR="000C4573" w:rsidRPr="000C4573">
        <w:t>Therefore, it is often necessary to seek additional information to determine the root cause</w:t>
      </w:r>
      <w:r w:rsidR="009C459D">
        <w:t xml:space="preserve"> </w:t>
      </w:r>
      <w:r w:rsidR="000C4573" w:rsidRPr="000C4573">
        <w:t>and other contributions to the potential unsafe condition.</w:t>
      </w:r>
      <w:r w:rsidR="00E442E7">
        <w:t xml:space="preserve"> </w:t>
      </w:r>
      <w:r w:rsidR="000C4573" w:rsidRPr="000C4573">
        <w:t xml:space="preserve">Unsafe conditions may be caused either </w:t>
      </w:r>
      <w:r w:rsidR="00F243FF">
        <w:t>in combination or separately</w:t>
      </w:r>
      <w:r w:rsidR="000C4573" w:rsidRPr="000C4573">
        <w:t xml:space="preserve"> by improper design, manufacture, maintenance, or operation.</w:t>
      </w:r>
      <w:r w:rsidR="00E442E7">
        <w:t xml:space="preserve"> </w:t>
      </w:r>
      <w:r w:rsidR="000C4573" w:rsidRPr="000C4573">
        <w:t xml:space="preserve">The contribution of these individual elements </w:t>
      </w:r>
      <w:r w:rsidR="000C4573" w:rsidRPr="00C047AD">
        <w:t>should be evaluated</w:t>
      </w:r>
      <w:r w:rsidR="000C4573" w:rsidRPr="000C4573">
        <w:t xml:space="preserve"> </w:t>
      </w:r>
      <w:r w:rsidR="00EE7F3A">
        <w:t xml:space="preserve">by the stakeholder </w:t>
      </w:r>
      <w:proofErr w:type="gramStart"/>
      <w:r w:rsidR="000C4573" w:rsidRPr="000C4573">
        <w:t>in order to</w:t>
      </w:r>
      <w:proofErr w:type="gramEnd"/>
      <w:r w:rsidR="000C4573" w:rsidRPr="000C4573">
        <w:t xml:space="preserve"> ascertain the probability of future occurrences as well as the effectiveness of candidate corrective actions.</w:t>
      </w:r>
      <w:r w:rsidR="00E442E7">
        <w:t xml:space="preserve"> </w:t>
      </w:r>
      <w:r w:rsidR="000C4573" w:rsidRPr="000C4573">
        <w:t>Unsafe conditions that are not mitigated by conditional factors may require expeditious action unless the root cause, failure distribution</w:t>
      </w:r>
      <w:r w:rsidR="00075CF0">
        <w:t>,</w:t>
      </w:r>
      <w:r w:rsidR="000C4573" w:rsidRPr="000C4573">
        <w:t xml:space="preserve"> and risk factor can </w:t>
      </w:r>
      <w:r w:rsidR="009C2B66" w:rsidRPr="00C047AD">
        <w:t xml:space="preserve">be </w:t>
      </w:r>
      <w:r w:rsidR="000C4573" w:rsidRPr="00C047AD">
        <w:t>established</w:t>
      </w:r>
      <w:r w:rsidR="003D4261">
        <w:t xml:space="preserve"> and determined to be non-urgent</w:t>
      </w:r>
      <w:r w:rsidR="009F1BCF">
        <w:t xml:space="preserve"> by the stakeholder</w:t>
      </w:r>
      <w:r w:rsidR="000C4573" w:rsidRPr="000C4573">
        <w:t>.</w:t>
      </w:r>
    </w:p>
    <w:p w14:paraId="28A373B4" w14:textId="7F777422" w:rsidR="000C4573" w:rsidRPr="000C4573" w:rsidRDefault="000C4573" w:rsidP="00A471BF">
      <w:pPr>
        <w:pStyle w:val="Levels1-3-Note"/>
      </w:pPr>
      <w:r w:rsidRPr="000C4573">
        <w:t>Root cause problem assessments may identify concerns in other products of the same or similar type design or usage.</w:t>
      </w:r>
      <w:r w:rsidR="00E442E7">
        <w:t xml:space="preserve"> </w:t>
      </w:r>
      <w:r w:rsidRPr="000C4573">
        <w:t xml:space="preserve">In these cases, consideration of corrective action beyond the </w:t>
      </w:r>
      <w:r w:rsidR="00EE158E" w:rsidRPr="000C4573">
        <w:t>initially identified</w:t>
      </w:r>
      <w:r w:rsidRPr="000C4573">
        <w:t xml:space="preserve"> population may be necessary.</w:t>
      </w:r>
    </w:p>
    <w:p w14:paraId="219A8C72" w14:textId="77777777" w:rsidR="00640000" w:rsidRPr="00F96C05" w:rsidRDefault="00640000" w:rsidP="000C4573">
      <w:pPr>
        <w:pStyle w:val="Heading2"/>
        <w:rPr>
          <w:rStyle w:val="Lead-in-Bold"/>
        </w:rPr>
      </w:pPr>
      <w:r w:rsidRPr="00F96C05">
        <w:rPr>
          <w:rStyle w:val="Lead-in-Bold"/>
        </w:rPr>
        <w:t>Hazard Ratio of Prior Events.</w:t>
      </w:r>
    </w:p>
    <w:p w14:paraId="410AB2E7" w14:textId="1A022936" w:rsidR="000C4573" w:rsidRPr="000C4573" w:rsidRDefault="00220992" w:rsidP="00F96C05">
      <w:pPr>
        <w:pStyle w:val="Levels1-3-OneParagraphUnderHeading"/>
      </w:pPr>
      <w:r w:rsidRPr="00220992">
        <w:lastRenderedPageBreak/>
        <w:t>The stakeholder(s) should review the prior examples of similar occurrences of the potential unsafe condition and their associated airplane-level effects</w:t>
      </w:r>
      <w:r w:rsidR="00C047AD">
        <w:t xml:space="preserve"> </w:t>
      </w:r>
      <w:r w:rsidR="000C4573" w:rsidRPr="000C4573">
        <w:t>to help with the determinations described in all aspects of the CAAM process</w:t>
      </w:r>
      <w:r w:rsidR="00FE005C">
        <w:t>es</w:t>
      </w:r>
      <w:r w:rsidR="000C4573" w:rsidRPr="000C4573">
        <w:t>.</w:t>
      </w:r>
      <w:r w:rsidR="00E442E7">
        <w:t xml:space="preserve"> </w:t>
      </w:r>
      <w:r w:rsidR="000C4573" w:rsidRPr="000C4573">
        <w:t xml:space="preserve">The CAAM reports </w:t>
      </w:r>
      <w:r w:rsidR="00EC401B">
        <w:t xml:space="preserve">are one source that </w:t>
      </w:r>
      <w:r w:rsidR="000C4573" w:rsidRPr="000C4573">
        <w:t>provide</w:t>
      </w:r>
      <w:r w:rsidR="00EC401B">
        <w:t>s</w:t>
      </w:r>
      <w:r w:rsidR="000C4573" w:rsidRPr="000C4573">
        <w:t xml:space="preserve"> information on previous occurrences of a variety of propulsion system and APU events</w:t>
      </w:r>
      <w:r w:rsidR="006B1CEF">
        <w:t>.</w:t>
      </w:r>
      <w:r w:rsidR="00E442E7">
        <w:t xml:space="preserve"> </w:t>
      </w:r>
      <w:r w:rsidR="000C4573" w:rsidRPr="000C4573">
        <w:t>This information is especially helpful in estimating the hazard ratio.</w:t>
      </w:r>
      <w:r w:rsidR="00E442E7">
        <w:t xml:space="preserve"> </w:t>
      </w:r>
      <w:r w:rsidR="000C4573" w:rsidRPr="000C4573">
        <w:t xml:space="preserve">See </w:t>
      </w:r>
      <w:r w:rsidR="005A4D2B" w:rsidRPr="000C4573">
        <w:t>appendi</w:t>
      </w:r>
      <w:r w:rsidR="005A4D2B">
        <w:t>ces</w:t>
      </w:r>
      <w:r w:rsidR="000C4573" w:rsidRPr="000C4573">
        <w:t xml:space="preserve"> </w:t>
      </w:r>
      <w:r w:rsidR="000E3387">
        <w:t>C and D</w:t>
      </w:r>
      <w:r w:rsidR="00D37219">
        <w:t xml:space="preserve"> </w:t>
      </w:r>
      <w:r w:rsidR="000C4573" w:rsidRPr="000C4573">
        <w:t xml:space="preserve">for </w:t>
      </w:r>
      <w:r w:rsidR="005B042B">
        <w:t xml:space="preserve">additional </w:t>
      </w:r>
      <w:r w:rsidR="000C4573" w:rsidRPr="000C4573">
        <w:t>guidance.</w:t>
      </w:r>
    </w:p>
    <w:p w14:paraId="527E1851" w14:textId="77777777" w:rsidR="00640000" w:rsidRPr="009E72CC" w:rsidRDefault="00640000" w:rsidP="000C4573">
      <w:pPr>
        <w:pStyle w:val="Heading2"/>
        <w:rPr>
          <w:rStyle w:val="Lead-in-Bold"/>
        </w:rPr>
      </w:pPr>
      <w:r w:rsidRPr="009E72CC">
        <w:rPr>
          <w:rStyle w:val="Lead-in-Bold"/>
        </w:rPr>
        <w:t>Probability of Future Events.</w:t>
      </w:r>
    </w:p>
    <w:p w14:paraId="4A77B171" w14:textId="162C7758" w:rsidR="00E915E7" w:rsidRDefault="00A07DB1" w:rsidP="00BF1E95">
      <w:pPr>
        <w:pStyle w:val="Levels1-3-OneParagraphUnderHeading"/>
      </w:pPr>
      <w:r>
        <w:t>T</w:t>
      </w:r>
      <w:r w:rsidRPr="00A07DB1">
        <w:t>he stakeholder(s) should compare the probability of HL 3 and higher events occurring in the future</w:t>
      </w:r>
      <w:r w:rsidRPr="00A07DB1" w:rsidDel="00A07DB1">
        <w:t xml:space="preserve"> </w:t>
      </w:r>
      <w:r w:rsidR="000C4573" w:rsidRPr="000C4573">
        <w:t>to the long-term acceptable risk guidelines</w:t>
      </w:r>
      <w:r w:rsidR="003F1A05">
        <w:t xml:space="preserve"> outlined </w:t>
      </w:r>
      <w:r w:rsidR="003F1A05" w:rsidRPr="009E72CC">
        <w:t xml:space="preserve">in </w:t>
      </w:r>
      <w:r w:rsidR="00795DF5">
        <w:t>t</w:t>
      </w:r>
      <w:r w:rsidR="00D53BD5" w:rsidRPr="009E72CC">
        <w:t xml:space="preserve">able </w:t>
      </w:r>
      <w:r w:rsidR="003F1A05" w:rsidRPr="009E72CC">
        <w:t>1 of this AC</w:t>
      </w:r>
      <w:r w:rsidR="00D15352" w:rsidRPr="000C4573">
        <w:t xml:space="preserve">, </w:t>
      </w:r>
      <w:r w:rsidR="00F32DB4">
        <w:t xml:space="preserve">as well as </w:t>
      </w:r>
      <w:r w:rsidR="00D15352" w:rsidRPr="000C4573">
        <w:t>the applicable design standards</w:t>
      </w:r>
      <w:r w:rsidR="000E09F1">
        <w:t xml:space="preserve"> to determine whether an unsafe condition exists</w:t>
      </w:r>
      <w:r w:rsidR="000C4573" w:rsidRPr="000C4573">
        <w:t>.</w:t>
      </w:r>
      <w:r w:rsidR="00E442E7">
        <w:t xml:space="preserve"> </w:t>
      </w:r>
      <w:r w:rsidR="008C67F8">
        <w:t>An unsafe condition exists i</w:t>
      </w:r>
      <w:r w:rsidR="000C4573" w:rsidRPr="000C4573">
        <w:t xml:space="preserve">f the probability of occurrence </w:t>
      </w:r>
      <w:r w:rsidR="00AB0EF9">
        <w:t xml:space="preserve">does not meet </w:t>
      </w:r>
      <w:proofErr w:type="gramStart"/>
      <w:r w:rsidR="00AB0EF9">
        <w:t>both of these</w:t>
      </w:r>
      <w:proofErr w:type="gramEnd"/>
      <w:r w:rsidR="00AB0EF9">
        <w:t xml:space="preserve"> guidelines and </w:t>
      </w:r>
      <w:r w:rsidR="005E15E8">
        <w:t xml:space="preserve">design </w:t>
      </w:r>
      <w:r w:rsidR="00AB0EF9">
        <w:t>standards</w:t>
      </w:r>
      <w:r w:rsidR="000C4573" w:rsidRPr="000C4573">
        <w:t>.</w:t>
      </w:r>
    </w:p>
    <w:p w14:paraId="6CDF29F8" w14:textId="77777777" w:rsidR="00640000" w:rsidRPr="009E72CC" w:rsidRDefault="00640000" w:rsidP="002A3591">
      <w:pPr>
        <w:pStyle w:val="Heading2"/>
        <w:rPr>
          <w:rStyle w:val="Lead-in-Bold"/>
        </w:rPr>
      </w:pPr>
      <w:r w:rsidRPr="009E72CC">
        <w:rPr>
          <w:rStyle w:val="Lead-in-Bold"/>
        </w:rPr>
        <w:t>Immediate Action</w:t>
      </w:r>
      <w:r w:rsidR="000C0305">
        <w:rPr>
          <w:rStyle w:val="Lead-in-Bold"/>
        </w:rPr>
        <w:t xml:space="preserve"> is</w:t>
      </w:r>
      <w:r w:rsidRPr="009E72CC">
        <w:rPr>
          <w:rStyle w:val="Lead-in-Bold"/>
        </w:rPr>
        <w:t xml:space="preserve"> Warranted</w:t>
      </w:r>
      <w:r w:rsidR="00A72FDB">
        <w:rPr>
          <w:rStyle w:val="Lead-in-Bold"/>
        </w:rPr>
        <w:t>.</w:t>
      </w:r>
    </w:p>
    <w:p w14:paraId="4859FAD7" w14:textId="0AF52EB1" w:rsidR="00D93913" w:rsidRDefault="000638F0" w:rsidP="00D93913">
      <w:pPr>
        <w:pStyle w:val="Levels1-3-OneParagraphUnderHeading"/>
      </w:pPr>
      <w:r w:rsidRPr="000638F0">
        <w:t>When the stakeholder identifies an unsafe condition</w:t>
      </w:r>
      <w:r w:rsidR="00C047AD">
        <w:t>,</w:t>
      </w:r>
      <w:r w:rsidRPr="000638F0">
        <w:t xml:space="preserve"> the FAA should </w:t>
      </w:r>
      <w:proofErr w:type="gramStart"/>
      <w:r w:rsidRPr="000638F0">
        <w:t>make a decision</w:t>
      </w:r>
      <w:proofErr w:type="gramEnd"/>
      <w:r w:rsidRPr="000638F0" w:rsidDel="000638F0">
        <w:t xml:space="preserve"> </w:t>
      </w:r>
      <w:r w:rsidR="00C047AD">
        <w:t>as to</w:t>
      </w:r>
      <w:r w:rsidR="00C047AD" w:rsidRPr="000C4573">
        <w:t xml:space="preserve"> </w:t>
      </w:r>
      <w:proofErr w:type="gramStart"/>
      <w:r w:rsidR="000C4573" w:rsidRPr="000C4573">
        <w:t>whether</w:t>
      </w:r>
      <w:r w:rsidR="009C690C">
        <w:t xml:space="preserve"> or not</w:t>
      </w:r>
      <w:proofErr w:type="gramEnd"/>
      <w:r w:rsidR="000C4573" w:rsidRPr="000C4573">
        <w:t xml:space="preserve"> immediate action is warranted.</w:t>
      </w:r>
      <w:r w:rsidR="00E442E7">
        <w:t xml:space="preserve"> </w:t>
      </w:r>
      <w:r w:rsidR="00752E17">
        <w:t>If</w:t>
      </w:r>
      <w:r w:rsidR="000C4573" w:rsidRPr="000C4573">
        <w:t xml:space="preserve"> immediate action</w:t>
      </w:r>
      <w:r w:rsidR="00752E17">
        <w:t xml:space="preserve"> is </w:t>
      </w:r>
      <w:r w:rsidR="00195C9F">
        <w:t>warranted</w:t>
      </w:r>
      <w:r w:rsidR="00752E17">
        <w:t xml:space="preserve">, </w:t>
      </w:r>
      <w:r w:rsidR="00195C9F">
        <w:t>such action</w:t>
      </w:r>
      <w:r w:rsidR="000C4573" w:rsidRPr="000C4573">
        <w:t xml:space="preserve"> </w:t>
      </w:r>
      <w:r w:rsidR="00F1266E">
        <w:t>should</w:t>
      </w:r>
      <w:r w:rsidR="00F1266E" w:rsidRPr="000C4573">
        <w:t xml:space="preserve"> </w:t>
      </w:r>
      <w:r w:rsidR="00195C9F">
        <w:t>reflect</w:t>
      </w:r>
      <w:r w:rsidR="000C4573" w:rsidRPr="000C4573">
        <w:t xml:space="preserve"> the severity of the condition</w:t>
      </w:r>
      <w:r w:rsidR="00616FBE">
        <w:t xml:space="preserve"> and the likelihood of additional events occurring </w:t>
      </w:r>
      <w:r w:rsidR="00EB5E3A">
        <w:t>before the</w:t>
      </w:r>
      <w:r w:rsidR="00616FBE">
        <w:t xml:space="preserve"> implementation of a long-term solution</w:t>
      </w:r>
      <w:r w:rsidR="00122DF8">
        <w:t>.</w:t>
      </w:r>
    </w:p>
    <w:p w14:paraId="3224DADF" w14:textId="1CE24624" w:rsidR="00F51DC7" w:rsidRDefault="00616FBE" w:rsidP="00D93913">
      <w:pPr>
        <w:pStyle w:val="Heading3"/>
      </w:pPr>
      <w:r w:rsidRPr="00D93913">
        <w:t xml:space="preserve">It is possible that </w:t>
      </w:r>
      <w:r w:rsidR="00B80B03">
        <w:t xml:space="preserve">the likelihood of </w:t>
      </w:r>
      <w:r w:rsidR="005A3161" w:rsidRPr="00D93913">
        <w:t xml:space="preserve">a </w:t>
      </w:r>
      <w:r w:rsidRPr="00D93913">
        <w:t xml:space="preserve">recurrence </w:t>
      </w:r>
      <w:r w:rsidR="005A3161" w:rsidRPr="00D93913">
        <w:t xml:space="preserve">of an unsafe condition </w:t>
      </w:r>
      <w:r w:rsidRPr="00D93913">
        <w:t>cannot be adequately estimated immediately following a potentially severe event.</w:t>
      </w:r>
      <w:r w:rsidR="00E442E7">
        <w:t xml:space="preserve"> </w:t>
      </w:r>
      <w:r w:rsidR="000C4573" w:rsidRPr="00D93913">
        <w:t>If it is possible to take immediate</w:t>
      </w:r>
      <w:r w:rsidR="00A65C7C">
        <w:t xml:space="preserve"> and</w:t>
      </w:r>
      <w:r w:rsidR="000C4573" w:rsidRPr="00D93913">
        <w:t xml:space="preserve"> practical action </w:t>
      </w:r>
      <w:r w:rsidR="00B44BA7">
        <w:t>which the FAA has a basis to believe will</w:t>
      </w:r>
      <w:r w:rsidR="00B80B03">
        <w:t xml:space="preserve"> address that safety risk</w:t>
      </w:r>
      <w:r w:rsidR="00B44BA7">
        <w:t>,</w:t>
      </w:r>
      <w:r w:rsidR="00B80B03">
        <w:t xml:space="preserve"> </w:t>
      </w:r>
      <w:r w:rsidR="000C4573" w:rsidRPr="00D93913">
        <w:t xml:space="preserve">while </w:t>
      </w:r>
      <w:r w:rsidR="00B44BA7">
        <w:t xml:space="preserve">the agency’s </w:t>
      </w:r>
      <w:r w:rsidR="000C4573" w:rsidRPr="00D93913">
        <w:t xml:space="preserve">initial assessment </w:t>
      </w:r>
      <w:r w:rsidR="000E660F">
        <w:t xml:space="preserve">to </w:t>
      </w:r>
      <w:r w:rsidR="00B44BA7">
        <w:t xml:space="preserve">fully </w:t>
      </w:r>
      <w:r w:rsidR="000E660F">
        <w:t xml:space="preserve">determine the cause </w:t>
      </w:r>
      <w:r w:rsidR="00B80B03">
        <w:t xml:space="preserve">and likelihood of recurrence </w:t>
      </w:r>
      <w:r w:rsidR="000C4573" w:rsidRPr="00D93913">
        <w:t xml:space="preserve">is being made, </w:t>
      </w:r>
      <w:r w:rsidR="00F51DC7">
        <w:t>t</w:t>
      </w:r>
      <w:r w:rsidR="00862F3E">
        <w:t xml:space="preserve">he FAA should consider </w:t>
      </w:r>
      <w:r w:rsidR="000C4573" w:rsidRPr="00D93913">
        <w:t>that action.</w:t>
      </w:r>
    </w:p>
    <w:p w14:paraId="3EF8EBBD" w14:textId="3052E635" w:rsidR="000C4573" w:rsidRPr="00D93913" w:rsidRDefault="003F3D1D" w:rsidP="004E39DA">
      <w:pPr>
        <w:pStyle w:val="Heading3"/>
        <w:numPr>
          <w:ilvl w:val="0"/>
          <w:numId w:val="0"/>
        </w:numPr>
        <w:ind w:left="864"/>
      </w:pPr>
      <w:r w:rsidRPr="00D93913">
        <w:t>For</w:t>
      </w:r>
      <w:r w:rsidRPr="00B16E97">
        <w:t xml:space="preserve"> </w:t>
      </w:r>
      <w:r w:rsidR="000C4573" w:rsidRPr="00B16E97">
        <w:t>example</w:t>
      </w:r>
      <w:r w:rsidRPr="00B16E97">
        <w:t>,</w:t>
      </w:r>
      <w:r w:rsidR="000C4573" w:rsidRPr="00B16E97">
        <w:t xml:space="preserve"> </w:t>
      </w:r>
      <w:r w:rsidR="007D1F57" w:rsidRPr="00B16E97">
        <w:t xml:space="preserve">an accident </w:t>
      </w:r>
      <w:r w:rsidRPr="00B16E97">
        <w:t>caused</w:t>
      </w:r>
      <w:r w:rsidR="007D1F57" w:rsidRPr="00B16E97">
        <w:t xml:space="preserve"> </w:t>
      </w:r>
      <w:r w:rsidR="009C5564" w:rsidRPr="00B16E97">
        <w:t>by an</w:t>
      </w:r>
      <w:r w:rsidR="007D1F57" w:rsidRPr="00B16E97">
        <w:t xml:space="preserve"> inflight thrust reverser deployment</w:t>
      </w:r>
      <w:r w:rsidRPr="00B16E97">
        <w:t xml:space="preserve"> resulted in the pilot losing control of the </w:t>
      </w:r>
      <w:r w:rsidR="00B16E97">
        <w:t>airplane</w:t>
      </w:r>
      <w:r w:rsidR="007D1F57" w:rsidRPr="00B16E97">
        <w:t>.</w:t>
      </w:r>
      <w:r w:rsidR="00E442E7">
        <w:t xml:space="preserve"> </w:t>
      </w:r>
      <w:r w:rsidR="000C4573" w:rsidRPr="00B16E97">
        <w:t xml:space="preserve">Neither the </w:t>
      </w:r>
      <w:r w:rsidR="00B44BA7">
        <w:t xml:space="preserve">cause of </w:t>
      </w:r>
      <w:r w:rsidR="000C4573" w:rsidRPr="00B16E97">
        <w:t>failures</w:t>
      </w:r>
      <w:r w:rsidR="009C5564" w:rsidRPr="00B16E97">
        <w:t>, which</w:t>
      </w:r>
      <w:r w:rsidR="000C4573" w:rsidRPr="00B16E97">
        <w:t xml:space="preserve"> led to the thrust reverser deploying inflight</w:t>
      </w:r>
      <w:r w:rsidR="009C5564" w:rsidRPr="00B16E97">
        <w:t>,</w:t>
      </w:r>
      <w:r w:rsidR="000C4573" w:rsidRPr="00B16E97">
        <w:t xml:space="preserve"> nor the reasons why the inflight deployment</w:t>
      </w:r>
      <w:r w:rsidR="00616FBE" w:rsidRPr="00B16E97">
        <w:t xml:space="preserve"> resulted in the pilot losing control of the airplane</w:t>
      </w:r>
      <w:r w:rsidR="001C712E">
        <w:t>,</w:t>
      </w:r>
      <w:r w:rsidR="00D03D5A" w:rsidRPr="00B16E97">
        <w:t xml:space="preserve"> </w:t>
      </w:r>
      <w:r w:rsidR="000C4573" w:rsidRPr="00833751">
        <w:t xml:space="preserve">could be </w:t>
      </w:r>
      <w:r w:rsidR="00447CED" w:rsidRPr="00AB2BC2">
        <w:t xml:space="preserve">readily </w:t>
      </w:r>
      <w:r w:rsidR="000C4573" w:rsidRPr="00AB2BC2">
        <w:t>determined</w:t>
      </w:r>
      <w:r w:rsidR="00B44BA7">
        <w:t xml:space="preserve"> with certainty</w:t>
      </w:r>
      <w:r w:rsidR="000C4573" w:rsidRPr="00AB2BC2">
        <w:t>.</w:t>
      </w:r>
      <w:r w:rsidR="00E442E7">
        <w:t xml:space="preserve"> </w:t>
      </w:r>
      <w:r w:rsidR="000C4573" w:rsidRPr="00AB2BC2">
        <w:t xml:space="preserve">However, it was possible to take </w:t>
      </w:r>
      <w:r w:rsidR="000C4573" w:rsidRPr="00D93913">
        <w:t xml:space="preserve">reasonable immediate action by “locking-out” the </w:t>
      </w:r>
      <w:r w:rsidR="001C712E">
        <w:t xml:space="preserve">thrust </w:t>
      </w:r>
      <w:r w:rsidR="000C4573" w:rsidRPr="00D93913">
        <w:t>reversers.</w:t>
      </w:r>
      <w:r w:rsidR="00E442E7">
        <w:t xml:space="preserve"> </w:t>
      </w:r>
      <w:r w:rsidR="00F51DC7">
        <w:t xml:space="preserve">The FAA would allow the thrust </w:t>
      </w:r>
      <w:r w:rsidR="001C712E">
        <w:t>r</w:t>
      </w:r>
      <w:r w:rsidR="000C4573" w:rsidRPr="00D93913">
        <w:t xml:space="preserve">eversers to be “unlocked” when </w:t>
      </w:r>
      <w:r w:rsidR="00F51DC7">
        <w:t xml:space="preserve">it could assure </w:t>
      </w:r>
      <w:r w:rsidR="000C4573" w:rsidRPr="00D93913">
        <w:t xml:space="preserve">system integrity </w:t>
      </w:r>
      <w:r w:rsidR="002375CF" w:rsidRPr="00D93913">
        <w:t>by requiring</w:t>
      </w:r>
      <w:r w:rsidR="00602E9A" w:rsidRPr="00D93913">
        <w:t xml:space="preserve"> </w:t>
      </w:r>
      <w:r w:rsidR="002375CF" w:rsidRPr="00D93913">
        <w:t>p</w:t>
      </w:r>
      <w:r w:rsidR="000C4573" w:rsidRPr="00D93913">
        <w:t>eriodic checks of the entire thrust reverser system, including its fault indication features.</w:t>
      </w:r>
      <w:r w:rsidR="00E442E7">
        <w:t xml:space="preserve"> </w:t>
      </w:r>
      <w:r w:rsidR="004471E9">
        <w:t>The final corrective action was to incorporate system modifications to ensure that subsequent inflight deployments are not anticipated to occur within the fleet life of the airplane type.</w:t>
      </w:r>
    </w:p>
    <w:p w14:paraId="6E787F22" w14:textId="11C7469E" w:rsidR="0058467F" w:rsidRPr="00D93913" w:rsidRDefault="000C4573" w:rsidP="00D93913">
      <w:pPr>
        <w:pStyle w:val="Heading3"/>
      </w:pPr>
      <w:r w:rsidRPr="00D93913">
        <w:t xml:space="preserve">If no </w:t>
      </w:r>
      <w:r w:rsidRPr="00774779">
        <w:t>practical</w:t>
      </w:r>
      <w:r w:rsidRPr="00D93913">
        <w:t xml:space="preserve"> or readily</w:t>
      </w:r>
      <w:r w:rsidR="004C2C18" w:rsidRPr="00D93913">
        <w:t xml:space="preserve"> </w:t>
      </w:r>
      <w:r w:rsidRPr="00D93913">
        <w:t xml:space="preserve">implemented </w:t>
      </w:r>
      <w:r w:rsidR="00D356C3">
        <w:t xml:space="preserve">corrective </w:t>
      </w:r>
      <w:r w:rsidRPr="00D93913">
        <w:t>action is possible</w:t>
      </w:r>
      <w:r w:rsidR="00B80B03">
        <w:t xml:space="preserve"> to ensure continued operational safety</w:t>
      </w:r>
      <w:r w:rsidRPr="00D93913">
        <w:t>, or if such action is not known to be sufficient in and of itself, then every effort should be made to objectively evaluate the appropriate level of response to the identified unsafe condition.</w:t>
      </w:r>
      <w:r w:rsidR="00E442E7">
        <w:t xml:space="preserve"> </w:t>
      </w:r>
      <w:r w:rsidRPr="00D93913">
        <w:t>Whe</w:t>
      </w:r>
      <w:r w:rsidR="009C2B66" w:rsidRPr="00D93913">
        <w:t>n</w:t>
      </w:r>
      <w:r w:rsidRPr="00D93913">
        <w:t xml:space="preserve"> factual data </w:t>
      </w:r>
      <w:r w:rsidR="00734978" w:rsidRPr="00D93913">
        <w:t xml:space="preserve">is </w:t>
      </w:r>
      <w:r w:rsidRPr="00D93913">
        <w:t xml:space="preserve">sparse, this review </w:t>
      </w:r>
      <w:r w:rsidR="00F1266E">
        <w:t>should</w:t>
      </w:r>
      <w:r w:rsidR="00F1266E" w:rsidRPr="00D93913">
        <w:t xml:space="preserve"> </w:t>
      </w:r>
      <w:r w:rsidRPr="00D93913">
        <w:t xml:space="preserve">be based on </w:t>
      </w:r>
      <w:r w:rsidR="005E58CB" w:rsidRPr="00D93913">
        <w:t>sound engineering</w:t>
      </w:r>
      <w:r w:rsidR="009C2B66" w:rsidRPr="00D93913">
        <w:t xml:space="preserve"> </w:t>
      </w:r>
      <w:r w:rsidRPr="00D93913">
        <w:t>judgment.</w:t>
      </w:r>
      <w:r w:rsidR="00E442E7">
        <w:t xml:space="preserve"> </w:t>
      </w:r>
      <w:r w:rsidRPr="00D93913">
        <w:t>The intent in either situation is for consistent and objective responses to unsafe conditions.</w:t>
      </w:r>
    </w:p>
    <w:p w14:paraId="1FB23483" w14:textId="77777777" w:rsidR="007C470C" w:rsidRPr="00F96C05" w:rsidRDefault="007C470C" w:rsidP="000C4573">
      <w:pPr>
        <w:pStyle w:val="Heading2"/>
        <w:rPr>
          <w:rStyle w:val="Lead-in-Bold"/>
        </w:rPr>
      </w:pPr>
      <w:r w:rsidRPr="00F96C05">
        <w:rPr>
          <w:rStyle w:val="Lead-in-Bold"/>
        </w:rPr>
        <w:t>Responses to Unsafe Conditions.</w:t>
      </w:r>
    </w:p>
    <w:p w14:paraId="1295547E" w14:textId="0FE45EA4" w:rsidR="005D424E" w:rsidRDefault="000C4573" w:rsidP="007C470C">
      <w:pPr>
        <w:pStyle w:val="Levels1-3-OneParagraphUnderHeading"/>
      </w:pPr>
      <w:r w:rsidRPr="000C4573">
        <w:t>Responses to identified unsafe conditions can vary from an immediate mitigating reaction to an extensively</w:t>
      </w:r>
      <w:r w:rsidR="00734978">
        <w:t xml:space="preserve"> </w:t>
      </w:r>
      <w:r w:rsidRPr="000C4573">
        <w:t>considered final response.</w:t>
      </w:r>
      <w:r w:rsidR="00E442E7">
        <w:t xml:space="preserve"> </w:t>
      </w:r>
      <w:r w:rsidRPr="000C4573">
        <w:t xml:space="preserve">The control programs for most </w:t>
      </w:r>
      <w:r w:rsidRPr="000C4573">
        <w:lastRenderedPageBreak/>
        <w:t>unsafe conditions may include initial, interim, and final actions.</w:t>
      </w:r>
      <w:r w:rsidR="00E442E7">
        <w:t xml:space="preserve"> </w:t>
      </w:r>
      <w:r w:rsidRPr="000C4573">
        <w:t>The CAAM process</w:t>
      </w:r>
      <w:r w:rsidR="008C5DF9">
        <w:t>es</w:t>
      </w:r>
      <w:r w:rsidRPr="000C4573">
        <w:t xml:space="preserve"> assist with the evaluation of those actions and help to verify that the actions are appropriate and timely to mitigate the unsafe condition.</w:t>
      </w:r>
    </w:p>
    <w:p w14:paraId="05D72385" w14:textId="77777777" w:rsidR="00B5434A" w:rsidRPr="00DF148F" w:rsidRDefault="00B5434A" w:rsidP="00DF148F">
      <w:pPr>
        <w:pStyle w:val="Heading2"/>
        <w:rPr>
          <w:rStyle w:val="Lead-in-Bold"/>
        </w:rPr>
      </w:pPr>
      <w:r w:rsidRPr="00DF148F">
        <w:rPr>
          <w:rStyle w:val="Lead-in-Bold"/>
        </w:rPr>
        <w:t xml:space="preserve">Risk to Persons Outside the </w:t>
      </w:r>
      <w:r w:rsidR="00E2753C">
        <w:rPr>
          <w:rStyle w:val="Lead-in-Bold"/>
        </w:rPr>
        <w:t>Airplane</w:t>
      </w:r>
      <w:r w:rsidR="00DF148F" w:rsidRPr="00DF148F">
        <w:rPr>
          <w:rStyle w:val="Lead-in-Bold"/>
        </w:rPr>
        <w:t>.</w:t>
      </w:r>
    </w:p>
    <w:p w14:paraId="6F4F707D" w14:textId="07B779DD" w:rsidR="004B7F0F" w:rsidRDefault="00B5434A" w:rsidP="00DF148F">
      <w:pPr>
        <w:pStyle w:val="Levels1-3-OneParagraphUnderHeading"/>
      </w:pPr>
      <w:r>
        <w:t>Throughout the CAAM risk assessment process</w:t>
      </w:r>
      <w:r w:rsidR="008C5DF9">
        <w:t>es</w:t>
      </w:r>
      <w:r>
        <w:t xml:space="preserve">, </w:t>
      </w:r>
      <w:r w:rsidR="004B7F0F">
        <w:t xml:space="preserve">the stakeholders should consider </w:t>
      </w:r>
      <w:r>
        <w:t xml:space="preserve">the threat to persons both inside and outside the </w:t>
      </w:r>
      <w:r w:rsidR="00E2753C">
        <w:t xml:space="preserve">airplane </w:t>
      </w:r>
      <w:r w:rsidR="00BE3D63">
        <w:t xml:space="preserve">when determining how </w:t>
      </w:r>
      <w:r>
        <w:t>to mitigate the unsafe condition.</w:t>
      </w:r>
      <w:r w:rsidR="00E442E7">
        <w:t xml:space="preserve"> </w:t>
      </w:r>
      <w:r>
        <w:t xml:space="preserve">However, certain causes of serious injury to persons outside the </w:t>
      </w:r>
      <w:r w:rsidR="00E2753C">
        <w:t>airplane</w:t>
      </w:r>
      <w:r w:rsidR="00A56D95">
        <w:t>, such as those caused by human negligence or recklessness,</w:t>
      </w:r>
      <w:r w:rsidR="00E2753C">
        <w:t xml:space="preserve"> </w:t>
      </w:r>
      <w:r>
        <w:t xml:space="preserve">cannot be </w:t>
      </w:r>
      <w:r w:rsidR="00A56D95">
        <w:t>wholly prevented</w:t>
      </w:r>
      <w:r>
        <w:t xml:space="preserve"> by practicable changes to the type design.</w:t>
      </w:r>
      <w:r w:rsidR="00E442E7">
        <w:t xml:space="preserve"> </w:t>
      </w:r>
      <w:r>
        <w:t>Examples of this include personnel that have walked into turning propellers or been ingested into engines due to a disregard for cautions, warning markings, or manual instructions.</w:t>
      </w:r>
    </w:p>
    <w:p w14:paraId="396766CB" w14:textId="77777777" w:rsidR="004B7F0F" w:rsidRDefault="004B7F0F" w:rsidP="00DF148F">
      <w:pPr>
        <w:pStyle w:val="Levels1-3-OneParagraphUnderHeading"/>
      </w:pPr>
    </w:p>
    <w:p w14:paraId="297A4C35" w14:textId="36785304" w:rsidR="00B5434A" w:rsidRDefault="00B5434A" w:rsidP="00DF148F">
      <w:pPr>
        <w:pStyle w:val="Levels1-3-OneParagraphUnderHeading"/>
      </w:pPr>
      <w:r>
        <w:t xml:space="preserve">Many other risks to persons outside the </w:t>
      </w:r>
      <w:r w:rsidR="00E2753C">
        <w:t>airplane</w:t>
      </w:r>
      <w:r>
        <w:t xml:space="preserve">, such as the shedding of small components from the </w:t>
      </w:r>
      <w:r w:rsidR="00E2753C">
        <w:t xml:space="preserve">airplane </w:t>
      </w:r>
      <w:r>
        <w:t xml:space="preserve">or engine were </w:t>
      </w:r>
      <w:r w:rsidR="00803BFE">
        <w:t xml:space="preserve">statistically </w:t>
      </w:r>
      <w:r>
        <w:t>insignificant</w:t>
      </w:r>
      <w:r w:rsidR="00803BFE">
        <w:t xml:space="preserve"> from the perspective of CAAM risk assessment</w:t>
      </w:r>
      <w:r w:rsidR="00A56D95">
        <w:t>, in comparison with the airplane-level risk,</w:t>
      </w:r>
      <w:r>
        <w:t xml:space="preserve"> due to the low probability of persons being injured.</w:t>
      </w:r>
      <w:r w:rsidR="00E442E7">
        <w:t xml:space="preserve"> </w:t>
      </w:r>
      <w:r w:rsidR="00A56D95">
        <w:t>Thus, i</w:t>
      </w:r>
      <w:r>
        <w:t xml:space="preserve">f the threat to persons outside the </w:t>
      </w:r>
      <w:r w:rsidR="00E2753C">
        <w:t xml:space="preserve">airplane </w:t>
      </w:r>
      <w:r>
        <w:t xml:space="preserve">is insignificant </w:t>
      </w:r>
      <w:r w:rsidR="00563B7E">
        <w:t>compared to the threat</w:t>
      </w:r>
      <w:r>
        <w:t xml:space="preserve"> to persons inside the </w:t>
      </w:r>
      <w:r w:rsidR="00E2753C">
        <w:t>airplane</w:t>
      </w:r>
      <w:r w:rsidR="00F622C9">
        <w:t xml:space="preserve">, </w:t>
      </w:r>
      <w:r>
        <w:t>or to the applicable risk guidelines, then</w:t>
      </w:r>
      <w:r w:rsidR="007A3760">
        <w:t xml:space="preserve"> the </w:t>
      </w:r>
      <w:r w:rsidR="000E443D">
        <w:t>stakeholder</w:t>
      </w:r>
      <w:r w:rsidR="004842EE">
        <w:t xml:space="preserve"> does not need to consider the </w:t>
      </w:r>
      <w:r w:rsidR="00A56D95">
        <w:t xml:space="preserve">marginal additional </w:t>
      </w:r>
      <w:r w:rsidR="007A3760">
        <w:t xml:space="preserve">risk to persons outside the airplane </w:t>
      </w:r>
      <w:r w:rsidR="00A56D95">
        <w:t>when developing corrective action</w:t>
      </w:r>
      <w:r>
        <w:t>.</w:t>
      </w:r>
    </w:p>
    <w:p w14:paraId="53CA4B25" w14:textId="77777777" w:rsidR="000C4573" w:rsidRDefault="000C4573" w:rsidP="000C4573">
      <w:pPr>
        <w:pStyle w:val="Heading1"/>
      </w:pPr>
      <w:r w:rsidRPr="000C4573">
        <w:t>RISK ASSESSMENT.</w:t>
      </w:r>
    </w:p>
    <w:p w14:paraId="12B1A5A2" w14:textId="0AD7BE45" w:rsidR="006E3478" w:rsidRDefault="00CE7DE6" w:rsidP="000C7A73">
      <w:pPr>
        <w:pStyle w:val="Levels1-3-OneParagraphUnderHeading"/>
      </w:pPr>
      <w:r w:rsidRPr="000C4573">
        <w:t xml:space="preserve">It </w:t>
      </w:r>
      <w:r w:rsidR="008C5DF9">
        <w:t>may be</w:t>
      </w:r>
      <w:r w:rsidR="000C7A73">
        <w:t xml:space="preserve"> </w:t>
      </w:r>
      <w:r w:rsidRPr="000C4573">
        <w:t xml:space="preserve">necessary </w:t>
      </w:r>
      <w:r w:rsidR="008C5DF9">
        <w:t xml:space="preserve">for the FAA </w:t>
      </w:r>
      <w:r w:rsidRPr="000C4573">
        <w:t>to work closely with the design approval holder and, if appropriate, the operators to complete the steps outlined within the</w:t>
      </w:r>
      <w:r w:rsidR="003D4261">
        <w:t xml:space="preserve"> CAAM</w:t>
      </w:r>
      <w:r w:rsidRPr="000C4573">
        <w:t xml:space="preserve"> risk assessment process.</w:t>
      </w:r>
      <w:r w:rsidR="00E442E7">
        <w:t xml:space="preserve"> </w:t>
      </w:r>
      <w:r w:rsidRPr="000C4573">
        <w:t xml:space="preserve">This cooperative effort may take the form of the FAA engineer overseeing the work </w:t>
      </w:r>
      <w:r w:rsidR="00846B73">
        <w:t>of the manufacturer or designer</w:t>
      </w:r>
      <w:r w:rsidR="002375CF">
        <w:t>,</w:t>
      </w:r>
      <w:r w:rsidR="00846B73">
        <w:t xml:space="preserve"> </w:t>
      </w:r>
      <w:r w:rsidR="002375CF">
        <w:t>t</w:t>
      </w:r>
      <w:r w:rsidRPr="000C4573">
        <w:t xml:space="preserve">he FAA engineer and </w:t>
      </w:r>
      <w:r w:rsidR="00846B73">
        <w:t>manufacturer working in concert</w:t>
      </w:r>
      <w:r w:rsidR="000C7A73">
        <w:t>,</w:t>
      </w:r>
      <w:r w:rsidRPr="000C4573">
        <w:t xml:space="preserve"> or the FAA engineer performing the analysis with input from the manufacturer.</w:t>
      </w:r>
    </w:p>
    <w:p w14:paraId="442BED80" w14:textId="77777777" w:rsidR="00C15C77" w:rsidRPr="00F96C05" w:rsidRDefault="002375CF" w:rsidP="000C4573">
      <w:pPr>
        <w:pStyle w:val="Heading2"/>
        <w:rPr>
          <w:rStyle w:val="Lead-in-Bold"/>
        </w:rPr>
      </w:pPr>
      <w:r>
        <w:rPr>
          <w:rStyle w:val="Lead-in-Bold"/>
        </w:rPr>
        <w:t>Assumptions</w:t>
      </w:r>
      <w:r w:rsidR="00C15C77" w:rsidRPr="00F96C05">
        <w:rPr>
          <w:rStyle w:val="Lead-in-Bold"/>
        </w:rPr>
        <w:t>.</w:t>
      </w:r>
    </w:p>
    <w:p w14:paraId="6443236F" w14:textId="3344041C" w:rsidR="0058467F" w:rsidRDefault="000C4573" w:rsidP="00F96C05">
      <w:pPr>
        <w:pStyle w:val="Levels1-3-OneParagraphUnderHeading"/>
      </w:pPr>
      <w:r w:rsidRPr="000C4573">
        <w:t xml:space="preserve">Any </w:t>
      </w:r>
      <w:r w:rsidR="00A132EB">
        <w:t xml:space="preserve">risk </w:t>
      </w:r>
      <w:r w:rsidRPr="000C4573">
        <w:t xml:space="preserve">analysis, whether qualitative or quantitative, is only as accurate as the assumptions, data, and analytical techniques </w:t>
      </w:r>
      <w:r w:rsidR="000D1D81">
        <w:t>used</w:t>
      </w:r>
      <w:r w:rsidRPr="000C4573">
        <w:t>.</w:t>
      </w:r>
      <w:r w:rsidR="00E442E7">
        <w:t xml:space="preserve"> </w:t>
      </w:r>
      <w:r w:rsidRPr="000C4573">
        <w:t xml:space="preserve">Therefore, </w:t>
      </w:r>
      <w:r w:rsidR="002B1D83">
        <w:t xml:space="preserve">all </w:t>
      </w:r>
      <w:r w:rsidRPr="000C4573">
        <w:t xml:space="preserve">assumptions should be </w:t>
      </w:r>
      <w:r w:rsidR="002375CF">
        <w:t>justified</w:t>
      </w:r>
      <w:r w:rsidRPr="000C4573">
        <w:t xml:space="preserve"> to ensure that the conclusions of the analysis are valid.</w:t>
      </w:r>
      <w:r w:rsidR="00E442E7">
        <w:t xml:space="preserve"> </w:t>
      </w:r>
      <w:r w:rsidRPr="000C4573">
        <w:t xml:space="preserve">The justification of the assumptions should be an integral part of </w:t>
      </w:r>
      <w:r w:rsidR="007031DD">
        <w:t xml:space="preserve">the </w:t>
      </w:r>
      <w:r w:rsidRPr="000C4573">
        <w:t>analysis.</w:t>
      </w:r>
      <w:r w:rsidR="00E442E7">
        <w:t xml:space="preserve"> </w:t>
      </w:r>
      <w:r w:rsidRPr="000C4573">
        <w:t>Assumptions can be validated by using experience with identical or similar systems or components, with due allowance made for differences of design, duty cycle</w:t>
      </w:r>
      <w:r w:rsidR="000D1D81">
        <w:t>,</w:t>
      </w:r>
      <w:r w:rsidRPr="000C4573">
        <w:t xml:space="preserve"> and environment.</w:t>
      </w:r>
      <w:r w:rsidR="00E442E7">
        <w:t xml:space="preserve"> </w:t>
      </w:r>
      <w:r w:rsidRPr="000C4573">
        <w:t>Whe</w:t>
      </w:r>
      <w:r w:rsidR="000D1D81">
        <w:t>n</w:t>
      </w:r>
      <w:r w:rsidRPr="000C4573">
        <w:t xml:space="preserve"> it is not possible to adequately justify the critical elements of </w:t>
      </w:r>
      <w:r w:rsidR="007031DD">
        <w:t xml:space="preserve">the </w:t>
      </w:r>
      <w:r w:rsidRPr="000C4573">
        <w:t>analysis, conservatism should be built into the initial assumptions</w:t>
      </w:r>
      <w:r w:rsidR="0091157F">
        <w:t>.</w:t>
      </w:r>
      <w:r w:rsidR="00E442E7">
        <w:t xml:space="preserve"> </w:t>
      </w:r>
      <w:r w:rsidR="003007EC">
        <w:t>However, i</w:t>
      </w:r>
      <w:r w:rsidR="0091157F">
        <w:t>t is important to</w:t>
      </w:r>
      <w:r w:rsidR="002B1D83">
        <w:t xml:space="preserve"> maintain consistency with </w:t>
      </w:r>
      <w:r w:rsidR="0091157F">
        <w:t xml:space="preserve">the </w:t>
      </w:r>
      <w:r w:rsidR="002B1D83">
        <w:t>observed physics</w:t>
      </w:r>
      <w:r w:rsidR="0091157F">
        <w:t xml:space="preserve"> of the event and failure mode when adding conservatism.</w:t>
      </w:r>
      <w:r w:rsidR="00E442E7">
        <w:t xml:space="preserve"> </w:t>
      </w:r>
      <w:r w:rsidR="0091157F">
        <w:t>Alternatively,</w:t>
      </w:r>
      <w:r w:rsidR="0078136A">
        <w:t xml:space="preserve"> </w:t>
      </w:r>
      <w:r w:rsidR="0091157F">
        <w:t xml:space="preserve">the </w:t>
      </w:r>
      <w:r w:rsidRPr="000C4573">
        <w:t>uncertainty in the data and assumptions should be evaluated to the degree necessary to demonstrate that the conclusions are relatively insensitive to that uncertainty.</w:t>
      </w:r>
      <w:r w:rsidR="00E442E7">
        <w:t xml:space="preserve"> </w:t>
      </w:r>
      <w:r w:rsidRPr="000C4573">
        <w:t>If a quantitative method is used, it is essential that the analysis calibrate</w:t>
      </w:r>
      <w:r w:rsidR="005C39BB">
        <w:t>s</w:t>
      </w:r>
      <w:r w:rsidRPr="000C4573">
        <w:t xml:space="preserve"> with the experience to date.</w:t>
      </w:r>
      <w:r w:rsidR="00E442E7">
        <w:t xml:space="preserve"> </w:t>
      </w:r>
      <w:r w:rsidRPr="000C4573">
        <w:t>A quantitative risk analysis cannot be expected to credibly predict into the future if it does not calibrate to actual experience.</w:t>
      </w:r>
    </w:p>
    <w:p w14:paraId="7EB354A7" w14:textId="77777777" w:rsidR="00C15C77" w:rsidRPr="00F96C05" w:rsidRDefault="00C15C77" w:rsidP="005759E1">
      <w:pPr>
        <w:pStyle w:val="Heading2"/>
        <w:rPr>
          <w:rStyle w:val="Lead-in-Bold"/>
        </w:rPr>
      </w:pPr>
      <w:r w:rsidRPr="00F96C05">
        <w:rPr>
          <w:rStyle w:val="Lead-in-Bold"/>
        </w:rPr>
        <w:lastRenderedPageBreak/>
        <w:t xml:space="preserve">Probability </w:t>
      </w:r>
      <w:r w:rsidR="00A02243" w:rsidRPr="00F96C05">
        <w:rPr>
          <w:rStyle w:val="Lead-in-Bold"/>
        </w:rPr>
        <w:t>of Event Prediction</w:t>
      </w:r>
      <w:r w:rsidRPr="00F96C05">
        <w:rPr>
          <w:rStyle w:val="Lead-in-Bold"/>
        </w:rPr>
        <w:t>.</w:t>
      </w:r>
    </w:p>
    <w:p w14:paraId="40C38A1F" w14:textId="2F6DB7BE" w:rsidR="000C4573" w:rsidRPr="000C4573" w:rsidRDefault="009A407E" w:rsidP="00F96C05">
      <w:pPr>
        <w:pStyle w:val="Levels1-3-OneParagraphUnderHeading"/>
      </w:pPr>
      <w:r>
        <w:t>T</w:t>
      </w:r>
      <w:r w:rsidR="000C4573" w:rsidRPr="000C4573">
        <w:t xml:space="preserve">here are various methods used to classify the severity and predict the probability of </w:t>
      </w:r>
      <w:r w:rsidR="00BA707E" w:rsidRPr="000C4573">
        <w:t>event</w:t>
      </w:r>
      <w:r w:rsidR="00BA707E">
        <w:t xml:space="preserve"> occurrence</w:t>
      </w:r>
      <w:r w:rsidR="009671C2">
        <w:t>.</w:t>
      </w:r>
      <w:r w:rsidR="00E442E7">
        <w:t xml:space="preserve"> </w:t>
      </w:r>
      <w:r w:rsidR="000C4573" w:rsidRPr="000C4573">
        <w:t>The intent</w:t>
      </w:r>
      <w:r w:rsidR="005C39BB">
        <w:t>,</w:t>
      </w:r>
      <w:r w:rsidR="000C4573" w:rsidRPr="000C4573">
        <w:t xml:space="preserve"> in any case</w:t>
      </w:r>
      <w:r w:rsidR="005C39BB">
        <w:t>,</w:t>
      </w:r>
      <w:r w:rsidR="000C4573" w:rsidRPr="000C4573">
        <w:t xml:space="preserve"> is to perform a realistic structured assessment </w:t>
      </w:r>
      <w:r w:rsidR="00897C72" w:rsidRPr="000C4573">
        <w:t>to determine whether an unsafe condition exists</w:t>
      </w:r>
      <w:r w:rsidR="00897C72">
        <w:t>.</w:t>
      </w:r>
      <w:r w:rsidR="00E442E7">
        <w:t xml:space="preserve"> </w:t>
      </w:r>
      <w:r w:rsidR="004D3606">
        <w:t>This</w:t>
      </w:r>
      <w:r w:rsidR="00897C72" w:rsidRPr="000C4573">
        <w:t xml:space="preserve"> ensure</w:t>
      </w:r>
      <w:r w:rsidR="004D3606">
        <w:t>s</w:t>
      </w:r>
      <w:r w:rsidR="00897C72" w:rsidRPr="000C4573">
        <w:t xml:space="preserve"> that an unsafe condition </w:t>
      </w:r>
      <w:r w:rsidR="004340E0">
        <w:t>with a</w:t>
      </w:r>
      <w:r w:rsidR="00897C72" w:rsidRPr="000C4573">
        <w:t xml:space="preserve"> greater risk </w:t>
      </w:r>
      <w:r w:rsidR="004340E0">
        <w:t xml:space="preserve">of occurrence </w:t>
      </w:r>
      <w:r w:rsidR="00897C72" w:rsidRPr="000C4573">
        <w:t xml:space="preserve">receives </w:t>
      </w:r>
      <w:r w:rsidR="004340E0">
        <w:t xml:space="preserve">a </w:t>
      </w:r>
      <w:r w:rsidR="004340E0" w:rsidRPr="000C4573">
        <w:t>higher level</w:t>
      </w:r>
      <w:r w:rsidR="00897C72" w:rsidRPr="000C4573">
        <w:t xml:space="preserve"> of attenti</w:t>
      </w:r>
      <w:r w:rsidR="004340E0">
        <w:t xml:space="preserve">on and resources for its </w:t>
      </w:r>
      <w:r w:rsidR="00897C72" w:rsidRPr="000C4573">
        <w:t>resolution than does one that represents a lower risk.</w:t>
      </w:r>
      <w:r w:rsidR="00E442E7">
        <w:t xml:space="preserve"> </w:t>
      </w:r>
      <w:r w:rsidR="005916B7">
        <w:t>T</w:t>
      </w:r>
      <w:r w:rsidR="005916B7" w:rsidRPr="000C4573">
        <w:t>he actual process used may vary</w:t>
      </w:r>
      <w:r w:rsidR="005916B7">
        <w:t xml:space="preserve"> d</w:t>
      </w:r>
      <w:r w:rsidR="000C4573" w:rsidRPr="000C4573">
        <w:t>epending on the nature of the potential</w:t>
      </w:r>
      <w:r w:rsidR="005C39BB">
        <w:t>ly</w:t>
      </w:r>
      <w:r w:rsidR="000C4573" w:rsidRPr="000C4573">
        <w:t xml:space="preserve"> unsafe condition, the level of experience with similar unsafe conditions</w:t>
      </w:r>
      <w:r w:rsidR="00A11AC3">
        <w:t>,</w:t>
      </w:r>
      <w:r w:rsidR="000C4573" w:rsidRPr="000C4573">
        <w:t xml:space="preserve"> the level of risk assessment</w:t>
      </w:r>
      <w:r w:rsidR="00A11AC3">
        <w:t>,</w:t>
      </w:r>
      <w:r w:rsidR="000C4573" w:rsidRPr="000C4573">
        <w:t xml:space="preserve"> and prioritization </w:t>
      </w:r>
      <w:r w:rsidR="004340E0">
        <w:t xml:space="preserve">of </w:t>
      </w:r>
      <w:r w:rsidR="000C4573" w:rsidRPr="000C4573">
        <w:t xml:space="preserve">information needed to support effective </w:t>
      </w:r>
      <w:r w:rsidR="00F30E1E" w:rsidRPr="000C4573">
        <w:t>decision-making</w:t>
      </w:r>
      <w:r w:rsidR="005916B7">
        <w:t>.</w:t>
      </w:r>
      <w:r w:rsidR="00E442E7">
        <w:t xml:space="preserve"> </w:t>
      </w:r>
      <w:r w:rsidR="00705EF1" w:rsidRPr="00705EF1">
        <w:t xml:space="preserve">However, the stakeholder should perform a process equivalent to that described in this AC as fully as </w:t>
      </w:r>
      <w:r w:rsidR="00F622C9" w:rsidRPr="00705EF1">
        <w:t>possible.</w:t>
      </w:r>
      <w:r w:rsidR="00E442E7">
        <w:t xml:space="preserve"> </w:t>
      </w:r>
      <w:r w:rsidR="00A11AC3" w:rsidRPr="000C4573">
        <w:t xml:space="preserve">The </w:t>
      </w:r>
      <w:r w:rsidR="004D3606">
        <w:t xml:space="preserve">steps outlined in paragraphs </w:t>
      </w:r>
      <w:r w:rsidR="00271CB6">
        <w:t>9</w:t>
      </w:r>
      <w:r w:rsidR="004D3606">
        <w:t>.</w:t>
      </w:r>
      <w:r w:rsidR="004340E0">
        <w:t>2</w:t>
      </w:r>
      <w:r w:rsidR="004D3606">
        <w:t xml:space="preserve">.1 – </w:t>
      </w:r>
      <w:r w:rsidR="00271CB6">
        <w:t>9</w:t>
      </w:r>
      <w:r w:rsidR="004D3606">
        <w:t>.</w:t>
      </w:r>
      <w:r w:rsidR="004340E0">
        <w:t>2</w:t>
      </w:r>
      <w:r w:rsidR="004D3606">
        <w:t>.1</w:t>
      </w:r>
      <w:r w:rsidR="005A044A">
        <w:t>2</w:t>
      </w:r>
      <w:r w:rsidR="004D3606">
        <w:t xml:space="preserve"> </w:t>
      </w:r>
      <w:r w:rsidR="00A11AC3" w:rsidRPr="000C4573">
        <w:t>may be performed using either quantitative or qualitative methods</w:t>
      </w:r>
      <w:r w:rsidR="00F30E1E">
        <w:t>,</w:t>
      </w:r>
      <w:r w:rsidR="00A11AC3" w:rsidRPr="000C4573">
        <w:t xml:space="preserve"> or both.</w:t>
      </w:r>
    </w:p>
    <w:p w14:paraId="2896A00E" w14:textId="77777777" w:rsidR="008E6CE8" w:rsidRPr="00F96C05" w:rsidRDefault="000C4573" w:rsidP="00B24B42">
      <w:pPr>
        <w:pStyle w:val="Heading3"/>
        <w:rPr>
          <w:rStyle w:val="Lead-in-Underlinenobold"/>
        </w:rPr>
      </w:pPr>
      <w:r w:rsidRPr="00D70C64">
        <w:rPr>
          <w:rStyle w:val="Lead-in-Underlinenobold"/>
        </w:rPr>
        <w:t xml:space="preserve">Estimate the </w:t>
      </w:r>
      <w:r w:rsidR="008E6CE8" w:rsidRPr="00D70C64">
        <w:rPr>
          <w:rStyle w:val="Lead-in-Underlinenobold"/>
        </w:rPr>
        <w:t>N</w:t>
      </w:r>
      <w:r w:rsidRPr="00D70C64">
        <w:rPr>
          <w:rStyle w:val="Lead-in-Underlinenobold"/>
        </w:rPr>
        <w:t xml:space="preserve">umber of </w:t>
      </w:r>
      <w:r w:rsidR="00C04271" w:rsidRPr="00D70C64">
        <w:rPr>
          <w:rStyle w:val="Lead-in-Underlinenobold"/>
        </w:rPr>
        <w:t>A</w:t>
      </w:r>
      <w:r w:rsidRPr="00D70C64">
        <w:rPr>
          <w:rStyle w:val="Lead-in-Underlinenobold"/>
        </w:rPr>
        <w:t xml:space="preserve">irplanes </w:t>
      </w:r>
      <w:r w:rsidR="008E6CE8" w:rsidRPr="00D70C64">
        <w:rPr>
          <w:rStyle w:val="Lead-in-Underlinenobold"/>
        </w:rPr>
        <w:t>E</w:t>
      </w:r>
      <w:r w:rsidRPr="00D70C64">
        <w:rPr>
          <w:rStyle w:val="Lead-in-Underlinenobold"/>
        </w:rPr>
        <w:t>xposed</w:t>
      </w:r>
      <w:r w:rsidRPr="00F96C05">
        <w:rPr>
          <w:rStyle w:val="Lead-in-Underlinenobold"/>
        </w:rPr>
        <w:t>.</w:t>
      </w:r>
    </w:p>
    <w:p w14:paraId="3586F5EE" w14:textId="70BD2806" w:rsidR="00C5395B" w:rsidRPr="00E93368" w:rsidRDefault="000C4573" w:rsidP="00A21506">
      <w:pPr>
        <w:pStyle w:val="Levels1-3-OneParagraphUnderHeading"/>
      </w:pPr>
      <w:r w:rsidRPr="00E93368">
        <w:t>Determine the number of airplanes for which the unsafe condition may exist</w:t>
      </w:r>
      <w:r w:rsidR="00976725">
        <w:t>,</w:t>
      </w:r>
      <w:r w:rsidRPr="00E93368">
        <w:t xml:space="preserve"> or be expected to develop</w:t>
      </w:r>
      <w:r w:rsidR="00976725">
        <w:t>,</w:t>
      </w:r>
      <w:r w:rsidR="00F30E1E" w:rsidRPr="00E93368">
        <w:t xml:space="preserve"> </w:t>
      </w:r>
      <w:r w:rsidRPr="00E93368">
        <w:t>if no corrective action is taken.</w:t>
      </w:r>
      <w:r w:rsidR="00E442E7">
        <w:t xml:space="preserve"> </w:t>
      </w:r>
      <w:r w:rsidRPr="00E93368">
        <w:t xml:space="preserve">For example, </w:t>
      </w:r>
      <w:r w:rsidR="0048569D" w:rsidRPr="00E93368">
        <w:t xml:space="preserve">estimate the number of </w:t>
      </w:r>
      <w:r w:rsidRPr="00E93368">
        <w:t xml:space="preserve">airplanes with engine parts </w:t>
      </w:r>
      <w:r w:rsidR="0048569D" w:rsidRPr="00E93368">
        <w:t xml:space="preserve">that fall </w:t>
      </w:r>
      <w:r w:rsidRPr="00E93368">
        <w:t>within a certain serial number range or airplanes with installed engines below a certain total cycles or total hours.</w:t>
      </w:r>
      <w:r w:rsidR="00E442E7">
        <w:t xml:space="preserve"> </w:t>
      </w:r>
      <w:r w:rsidR="00A21506" w:rsidRPr="00E93368">
        <w:t xml:space="preserve">A </w:t>
      </w:r>
      <w:r w:rsidR="00A21506" w:rsidRPr="0051266F">
        <w:t xml:space="preserve">failure condition may apply to the fleet </w:t>
      </w:r>
      <w:r w:rsidR="003D4261" w:rsidRPr="0051266F">
        <w:t>of airplanes installed with the affected engines,</w:t>
      </w:r>
      <w:r w:rsidR="00A21506" w:rsidRPr="0051266F">
        <w:t xml:space="preserve"> or it may be limited to </w:t>
      </w:r>
      <w:proofErr w:type="gramStart"/>
      <w:r w:rsidR="00A21506" w:rsidRPr="0051266F">
        <w:t>a particular</w:t>
      </w:r>
      <w:r w:rsidR="004F4131" w:rsidRPr="0051266F">
        <w:t>,</w:t>
      </w:r>
      <w:r w:rsidR="00A21506" w:rsidRPr="0051266F">
        <w:t xml:space="preserve"> identifiable</w:t>
      </w:r>
      <w:proofErr w:type="gramEnd"/>
      <w:r w:rsidR="00A21506" w:rsidRPr="0051266F">
        <w:t xml:space="preserve"> sub-population.</w:t>
      </w:r>
      <w:r w:rsidR="00E442E7" w:rsidRPr="0051266F">
        <w:t xml:space="preserve"> </w:t>
      </w:r>
      <w:r w:rsidR="00A21506" w:rsidRPr="0051266F">
        <w:t xml:space="preserve">Alternatively, the full fleet may </w:t>
      </w:r>
      <w:r w:rsidR="00A21506" w:rsidRPr="00E93368">
        <w:t xml:space="preserve">consist of </w:t>
      </w:r>
      <w:r w:rsidR="00D5281F" w:rsidRPr="00E93368">
        <w:t>many</w:t>
      </w:r>
      <w:r w:rsidR="00A21506" w:rsidRPr="00E93368">
        <w:t xml:space="preserve"> sub-populations that are all at risk of the failure condition, but at different rates or probabilities.</w:t>
      </w:r>
      <w:r w:rsidR="00E442E7">
        <w:t xml:space="preserve"> </w:t>
      </w:r>
      <w:r w:rsidR="00A21506" w:rsidRPr="00E93368">
        <w:t>Sub-populations may include different engine models,</w:t>
      </w:r>
      <w:r w:rsidR="00392ED2">
        <w:t xml:space="preserve"> operators</w:t>
      </w:r>
      <w:r w:rsidR="00A21506" w:rsidRPr="00E93368">
        <w:t xml:space="preserve">, types of operations, location of operations, </w:t>
      </w:r>
      <w:r w:rsidR="0092332A" w:rsidRPr="00E93368">
        <w:t xml:space="preserve">manufacturing </w:t>
      </w:r>
      <w:r w:rsidR="00A21506" w:rsidRPr="00E93368">
        <w:t>heats, production lots, or serial number ranges.</w:t>
      </w:r>
      <w:r w:rsidR="00E442E7">
        <w:t xml:space="preserve"> </w:t>
      </w:r>
      <w:r w:rsidR="00D5281F" w:rsidRPr="00E93368">
        <w:t>T</w:t>
      </w:r>
      <w:r w:rsidR="00A21506" w:rsidRPr="00E93368">
        <w:t>o divide the full fleet and separately assess the risk of sub-populations, the individual components, engines, or airplanes should be able to be identified as belonging to the at-risk sub</w:t>
      </w:r>
      <w:r w:rsidR="005B795F">
        <w:t xml:space="preserve"> </w:t>
      </w:r>
      <w:r w:rsidR="00A21506" w:rsidRPr="00E93368">
        <w:t>population(s).</w:t>
      </w:r>
      <w:r w:rsidR="00E442E7">
        <w:t xml:space="preserve"> </w:t>
      </w:r>
      <w:r w:rsidR="00A21506" w:rsidRPr="00E93368">
        <w:t xml:space="preserve">For example, </w:t>
      </w:r>
      <w:r w:rsidR="007A3760">
        <w:t xml:space="preserve">if </w:t>
      </w:r>
      <w:r w:rsidR="00A21506" w:rsidRPr="00E93368">
        <w:t>the model of each engine is known, the heat of material or serial number for each part is known, or the type of operation for flights can be identified.</w:t>
      </w:r>
    </w:p>
    <w:p w14:paraId="213C4E45" w14:textId="77777777" w:rsidR="008E6CE8" w:rsidRPr="007A771C" w:rsidRDefault="000C4573" w:rsidP="007006C2">
      <w:pPr>
        <w:pStyle w:val="Heading3"/>
        <w:rPr>
          <w:rStyle w:val="Lead-in-Underlinenobold"/>
        </w:rPr>
      </w:pPr>
      <w:r w:rsidRPr="00E405AD">
        <w:rPr>
          <w:rStyle w:val="Lead-in-Underlinenobold"/>
        </w:rPr>
        <w:t xml:space="preserve">Estimate the </w:t>
      </w:r>
      <w:r w:rsidR="008E6CE8" w:rsidRPr="00E405AD">
        <w:rPr>
          <w:rStyle w:val="Lead-in-Underlinenobold"/>
        </w:rPr>
        <w:t>U</w:t>
      </w:r>
      <w:r w:rsidRPr="00E405AD">
        <w:rPr>
          <w:rStyle w:val="Lead-in-Underlinenobold"/>
        </w:rPr>
        <w:t xml:space="preserve">ncorrected </w:t>
      </w:r>
      <w:r w:rsidR="008E6CE8" w:rsidRPr="00E405AD">
        <w:rPr>
          <w:rStyle w:val="Lead-in-Underlinenobold"/>
        </w:rPr>
        <w:t>R</w:t>
      </w:r>
      <w:r w:rsidRPr="00E405AD">
        <w:rPr>
          <w:rStyle w:val="Lead-in-Underlinenobold"/>
        </w:rPr>
        <w:t xml:space="preserve">isk </w:t>
      </w:r>
      <w:r w:rsidR="008E6CE8" w:rsidRPr="00E405AD">
        <w:rPr>
          <w:rStyle w:val="Lead-in-Underlinenobold"/>
        </w:rPr>
        <w:t>F</w:t>
      </w:r>
      <w:r w:rsidRPr="00E405AD">
        <w:rPr>
          <w:rStyle w:val="Lead-in-Underlinenobold"/>
        </w:rPr>
        <w:t>actor</w:t>
      </w:r>
      <w:r w:rsidRPr="00A471BF">
        <w:rPr>
          <w:rStyle w:val="Lead-in-Underlinenobold"/>
        </w:rPr>
        <w:t>.</w:t>
      </w:r>
    </w:p>
    <w:p w14:paraId="219383C3" w14:textId="18BC102F" w:rsidR="000C4573" w:rsidRPr="000C4573" w:rsidRDefault="000C4573" w:rsidP="006F59D5">
      <w:pPr>
        <w:pStyle w:val="Heading4"/>
      </w:pPr>
      <w:r w:rsidRPr="000C4573">
        <w:t>Use analytical techniques to estimate the uncorrected risk factor</w:t>
      </w:r>
      <w:r w:rsidR="002D0E93">
        <w:t>.</w:t>
      </w:r>
      <w:r w:rsidR="00E442E7">
        <w:t xml:space="preserve"> </w:t>
      </w:r>
      <w:r w:rsidRPr="000C4573">
        <w:t>This step</w:t>
      </w:r>
      <w:r w:rsidR="007A3760">
        <w:t xml:space="preserve"> estimates how many events will occur within the</w:t>
      </w:r>
      <w:r w:rsidRPr="000C4573">
        <w:t xml:space="preserve"> exposed population.</w:t>
      </w:r>
      <w:r w:rsidR="00E442E7">
        <w:t xml:space="preserve"> </w:t>
      </w:r>
      <w:r w:rsidRPr="000C4573">
        <w:t>While the event of interest is usually the occurrence of the identified unsafe condition, events of lesser or greater severity may also be analyzed.</w:t>
      </w:r>
      <w:r w:rsidR="00E442E7">
        <w:t xml:space="preserve"> </w:t>
      </w:r>
      <w:r w:rsidRPr="000C4573">
        <w:t xml:space="preserve">Risk factors for </w:t>
      </w:r>
      <w:r w:rsidR="00E162F8">
        <w:t>HL</w:t>
      </w:r>
      <w:r w:rsidRPr="000C4573">
        <w:t>s 3, 4</w:t>
      </w:r>
      <w:r w:rsidR="00CD6618">
        <w:t>,</w:t>
      </w:r>
      <w:r w:rsidRPr="000C4573">
        <w:t xml:space="preserve"> and 5 are also calculated to allow for comparison to the risk guidelines </w:t>
      </w:r>
      <w:r w:rsidR="0048569D">
        <w:t xml:space="preserve">outlined </w:t>
      </w:r>
      <w:r w:rsidRPr="009E72CC">
        <w:t xml:space="preserve">in </w:t>
      </w:r>
      <w:r w:rsidR="00795DF5">
        <w:t>t</w:t>
      </w:r>
      <w:r w:rsidRPr="009E72CC">
        <w:t>able 1</w:t>
      </w:r>
      <w:r w:rsidR="00724ED2">
        <w:t xml:space="preserve"> of this AC.</w:t>
      </w:r>
      <w:r w:rsidR="00E442E7">
        <w:t xml:space="preserve"> </w:t>
      </w:r>
      <w:r w:rsidRPr="000C4573">
        <w:t>Risk factors for higher-level events are obtained by multiplying the event risk factor by the applicable hazard ratio.</w:t>
      </w:r>
    </w:p>
    <w:p w14:paraId="33328963" w14:textId="0BE57FE2" w:rsidR="00BE11D7" w:rsidRDefault="000C4573" w:rsidP="006F59D5">
      <w:pPr>
        <w:pStyle w:val="Heading4"/>
      </w:pPr>
      <w:r w:rsidRPr="000C4573">
        <w:t xml:space="preserve">Failure of components is most often a function of component cycles, </w:t>
      </w:r>
      <w:r w:rsidR="00E2753C">
        <w:t>airplane</w:t>
      </w:r>
      <w:r w:rsidR="00E2753C" w:rsidRPr="000C4573">
        <w:t xml:space="preserve"> </w:t>
      </w:r>
      <w:r w:rsidRPr="000C4573">
        <w:t>flights, or hours of operation</w:t>
      </w:r>
      <w:r w:rsidR="003466B3">
        <w:t>.</w:t>
      </w:r>
      <w:r w:rsidR="00E442E7">
        <w:t xml:space="preserve"> </w:t>
      </w:r>
      <w:r w:rsidR="003466B3">
        <w:t>However, it</w:t>
      </w:r>
      <w:r w:rsidRPr="000C4573">
        <w:t xml:space="preserve"> may be a function of calendar time or other parameter</w:t>
      </w:r>
      <w:r w:rsidR="00D5281F">
        <w:t>s</w:t>
      </w:r>
      <w:r w:rsidRPr="000C4573">
        <w:t>.</w:t>
      </w:r>
      <w:r w:rsidR="00E442E7">
        <w:t xml:space="preserve"> </w:t>
      </w:r>
      <w:r w:rsidRPr="000C4573">
        <w:t>Failure rate data expressed as failures per flight hour, cycle, or flight may also be dependent on the frequency with which the actual stresses that cause failure occur within the exposure period.</w:t>
      </w:r>
      <w:r w:rsidR="00E442E7">
        <w:t xml:space="preserve"> </w:t>
      </w:r>
      <w:r w:rsidRPr="000C4573">
        <w:t>For example, a component failure mode may be predominantly a function of the number of times electrical power is applied to it.</w:t>
      </w:r>
      <w:r w:rsidR="00E442E7">
        <w:t xml:space="preserve"> </w:t>
      </w:r>
      <w:r w:rsidRPr="000C4573">
        <w:t xml:space="preserve">If so, the </w:t>
      </w:r>
      <w:r w:rsidRPr="000C4573">
        <w:lastRenderedPageBreak/>
        <w:t>average power applications per flight hour should be the same between the source of the failure rate data and the subject application of that data, or an appropriate correction should be applied.</w:t>
      </w:r>
    </w:p>
    <w:p w14:paraId="6F087477" w14:textId="5979A166" w:rsidR="00B663C0" w:rsidRDefault="00B663C0" w:rsidP="000535F4">
      <w:pPr>
        <w:pStyle w:val="Levels4-5-Note"/>
        <w:numPr>
          <w:ilvl w:val="0"/>
          <w:numId w:val="0"/>
        </w:numPr>
        <w:ind w:left="2160"/>
      </w:pPr>
      <w:r w:rsidRPr="00F25032">
        <w:rPr>
          <w:b/>
          <w:bCs/>
        </w:rPr>
        <w:t>Note</w:t>
      </w:r>
      <w:r w:rsidRPr="00B663C0">
        <w:t>: Exposure means the possibility of occurrence, not the certainty of it. If multiple airplane types are exposed to the same unsafe condition, then the estimate should include all affected airplanes rather than assessing the risk to each airplane type separately.</w:t>
      </w:r>
    </w:p>
    <w:p w14:paraId="34CD61A0" w14:textId="5A6D0537" w:rsidR="004C2C18" w:rsidRDefault="000C4573" w:rsidP="006F59D5">
      <w:pPr>
        <w:pStyle w:val="Heading4"/>
      </w:pPr>
      <w:r w:rsidRPr="000C4573">
        <w:t>For uncorrected risk factor, a 20-year fleet life may be assumed</w:t>
      </w:r>
      <w:r w:rsidR="005A044A">
        <w:t>,</w:t>
      </w:r>
      <w:r w:rsidRPr="000C4573">
        <w:t xml:space="preserve"> or another reasonable estimate of the actual fleet life may be used.</w:t>
      </w:r>
      <w:r w:rsidR="00E442E7">
        <w:t xml:space="preserve"> </w:t>
      </w:r>
      <w:r w:rsidR="005A044A">
        <w:t xml:space="preserve">The fleet life should be converted to flights or flight hours, as appropriate, per </w:t>
      </w:r>
      <w:r w:rsidR="00E2753C">
        <w:t>airplane</w:t>
      </w:r>
      <w:r w:rsidR="005A044A">
        <w:t>.</w:t>
      </w:r>
      <w:r w:rsidR="00E442E7">
        <w:t xml:space="preserve"> </w:t>
      </w:r>
      <w:r w:rsidRPr="000C4573">
        <w:t>Additionally, the risk factor should be converted to risk per flight</w:t>
      </w:r>
      <w:r w:rsidR="0048569D">
        <w:t xml:space="preserve"> </w:t>
      </w:r>
      <w:r w:rsidRPr="000C4573">
        <w:t>or flight hour, if applicable</w:t>
      </w:r>
      <w:r w:rsidR="0048569D">
        <w:t>,</w:t>
      </w:r>
      <w:r w:rsidRPr="000C4573">
        <w:t xml:space="preserve"> to facilitate comparing risks on a common exposure basis.</w:t>
      </w:r>
      <w:r w:rsidR="00E442E7">
        <w:t xml:space="preserve"> </w:t>
      </w:r>
      <w:r w:rsidR="00FA2D75">
        <w:t>Converting the risk per flight</w:t>
      </w:r>
      <w:r w:rsidR="00FA2D75" w:rsidRPr="000C4573">
        <w:t xml:space="preserve"> </w:t>
      </w:r>
      <w:r w:rsidRPr="000C4573">
        <w:t>is done by dividing the risk factor by the total number of flights or flight hours within the assumed exposure period.</w:t>
      </w:r>
      <w:r w:rsidR="00E442E7">
        <w:t xml:space="preserve"> </w:t>
      </w:r>
      <w:r w:rsidRPr="000C4573">
        <w:t>Whatever exposure basis is used</w:t>
      </w:r>
      <w:r w:rsidR="0048569D">
        <w:t>,</w:t>
      </w:r>
      <w:r w:rsidRPr="000C4573">
        <w:t xml:space="preserve"> flights or flight hours, it should be used consistently to allow the various risks being managed simultaneously to be readily compared to each other and the risk guidelines.</w:t>
      </w:r>
      <w:r w:rsidR="00E442E7">
        <w:t xml:space="preserve"> </w:t>
      </w:r>
      <w:r w:rsidRPr="000C4573">
        <w:t xml:space="preserve">The uncorrected risk factor(s) should be compared to the risk guidelines </w:t>
      </w:r>
      <w:r w:rsidR="007D3BAF">
        <w:t xml:space="preserve">outlined </w:t>
      </w:r>
      <w:r w:rsidRPr="000C4573">
        <w:t xml:space="preserve">in </w:t>
      </w:r>
      <w:r w:rsidR="00795DF5">
        <w:t>t</w:t>
      </w:r>
      <w:r w:rsidRPr="009E72CC">
        <w:t>able 1</w:t>
      </w:r>
      <w:r w:rsidRPr="000C4573">
        <w:t xml:space="preserve"> </w:t>
      </w:r>
      <w:r w:rsidR="009103BE">
        <w:t>of this AC</w:t>
      </w:r>
      <w:r w:rsidR="005A044A">
        <w:t xml:space="preserve"> to help establish the relative threat posed by the unsafe condition.</w:t>
      </w:r>
    </w:p>
    <w:p w14:paraId="4626F59D" w14:textId="77777777" w:rsidR="001735DD" w:rsidRPr="009E72CC" w:rsidRDefault="000C4573" w:rsidP="009E72CC">
      <w:pPr>
        <w:pStyle w:val="Heading3"/>
        <w:rPr>
          <w:rStyle w:val="Lead-in-Underlinenobold"/>
        </w:rPr>
      </w:pPr>
      <w:r w:rsidRPr="009E72CC">
        <w:rPr>
          <w:rStyle w:val="Lead-in-Underlinenobold"/>
        </w:rPr>
        <w:t xml:space="preserve">Identify </w:t>
      </w:r>
      <w:r w:rsidR="001735DD">
        <w:rPr>
          <w:rStyle w:val="Lead-in-Underlinenobold"/>
        </w:rPr>
        <w:t>O</w:t>
      </w:r>
      <w:r w:rsidRPr="009E72CC">
        <w:rPr>
          <w:rStyle w:val="Lead-in-Underlinenobold"/>
        </w:rPr>
        <w:t xml:space="preserve">ptions for </w:t>
      </w:r>
      <w:r w:rsidR="001735DD">
        <w:rPr>
          <w:rStyle w:val="Lead-in-Underlinenobold"/>
        </w:rPr>
        <w:t>M</w:t>
      </w:r>
      <w:r w:rsidRPr="009E72CC">
        <w:rPr>
          <w:rStyle w:val="Lead-in-Underlinenobold"/>
        </w:rPr>
        <w:t xml:space="preserve">itigating </w:t>
      </w:r>
      <w:r w:rsidR="001735DD">
        <w:rPr>
          <w:rStyle w:val="Lead-in-Underlinenobold"/>
        </w:rPr>
        <w:t>A</w:t>
      </w:r>
      <w:r w:rsidRPr="009E72CC">
        <w:rPr>
          <w:rStyle w:val="Lead-in-Underlinenobold"/>
        </w:rPr>
        <w:t>ction.</w:t>
      </w:r>
    </w:p>
    <w:p w14:paraId="5FA9749B" w14:textId="18B02A5C" w:rsidR="006E3478" w:rsidRDefault="000C4573" w:rsidP="001735DD">
      <w:pPr>
        <w:pStyle w:val="Levels1-3-OneParagraphUnderHeading"/>
      </w:pPr>
      <w:r w:rsidRPr="000C4573">
        <w:t xml:space="preserve">Some types of actions that have proven to be both </w:t>
      </w:r>
      <w:r w:rsidRPr="002F34D8">
        <w:t>practical</w:t>
      </w:r>
      <w:r w:rsidRPr="000C4573">
        <w:t xml:space="preserve"> and beneficial for immediate responses are inspections, placards, revisions</w:t>
      </w:r>
      <w:r w:rsidR="00131F59">
        <w:t>,</w:t>
      </w:r>
      <w:r w:rsidRPr="000C4573">
        <w:t xml:space="preserve"> supplements to the </w:t>
      </w:r>
      <w:r w:rsidR="00D9220F">
        <w:t>airplane</w:t>
      </w:r>
      <w:r w:rsidR="00D9220F" w:rsidRPr="000C4573">
        <w:t xml:space="preserve"> </w:t>
      </w:r>
      <w:r w:rsidR="007F483F">
        <w:t>f</w:t>
      </w:r>
      <w:r w:rsidR="007F483F" w:rsidRPr="000C4573">
        <w:t xml:space="preserve">light </w:t>
      </w:r>
      <w:r w:rsidR="007F483F">
        <w:t>m</w:t>
      </w:r>
      <w:r w:rsidR="007F483F" w:rsidRPr="000C4573">
        <w:t>anual</w:t>
      </w:r>
      <w:r w:rsidRPr="000C4573">
        <w:t xml:space="preserve">, staggering engines to obtain mixed life engines on a given airplane </w:t>
      </w:r>
      <w:r w:rsidR="008B351B">
        <w:t>(</w:t>
      </w:r>
      <w:r w:rsidRPr="000C4573">
        <w:t>for infant-mortality problems</w:t>
      </w:r>
      <w:r w:rsidR="008B351B">
        <w:t>)</w:t>
      </w:r>
      <w:r w:rsidR="00131F59">
        <w:t>,</w:t>
      </w:r>
      <w:r w:rsidRPr="000C4573">
        <w:t xml:space="preserve"> and pre-flight checks.</w:t>
      </w:r>
      <w:r w:rsidR="00E442E7">
        <w:t xml:space="preserve"> </w:t>
      </w:r>
      <w:r w:rsidRPr="000C4573">
        <w:t>These same actions are appropriate for follow-on actions, along with repair or replacement of the suspect components.</w:t>
      </w:r>
    </w:p>
    <w:p w14:paraId="02EB3FB8" w14:textId="77777777" w:rsidR="001735DD" w:rsidRPr="00195330" w:rsidRDefault="000C4573" w:rsidP="00195330">
      <w:pPr>
        <w:pStyle w:val="Heading3"/>
        <w:rPr>
          <w:rStyle w:val="Lead-in-Underlinenobold"/>
        </w:rPr>
      </w:pPr>
      <w:r w:rsidRPr="00195330">
        <w:rPr>
          <w:rStyle w:val="Lead-in-Underlinenobold"/>
        </w:rPr>
        <w:t xml:space="preserve">Estimate the </w:t>
      </w:r>
      <w:r w:rsidR="001735DD" w:rsidRPr="00195330">
        <w:rPr>
          <w:rStyle w:val="Lead-in-Underlinenobold"/>
        </w:rPr>
        <w:t xml:space="preserve">Effects </w:t>
      </w:r>
      <w:r w:rsidRPr="00195330">
        <w:rPr>
          <w:rStyle w:val="Lead-in-Underlinenobold"/>
        </w:rPr>
        <w:t xml:space="preserve">of </w:t>
      </w:r>
      <w:r w:rsidR="001735DD" w:rsidRPr="00195330">
        <w:rPr>
          <w:rStyle w:val="Lead-in-Underlinenobold"/>
        </w:rPr>
        <w:t>Candidate Actions</w:t>
      </w:r>
      <w:r w:rsidRPr="00195330">
        <w:rPr>
          <w:rStyle w:val="Lead-in-Underlinenobold"/>
        </w:rPr>
        <w:t>.</w:t>
      </w:r>
    </w:p>
    <w:p w14:paraId="15F82E6B" w14:textId="52AF1795" w:rsidR="000C4573" w:rsidRPr="000C4573" w:rsidRDefault="00981563" w:rsidP="00195330">
      <w:pPr>
        <w:pStyle w:val="Levels1-3-OneParagraphUnderHeading"/>
      </w:pPr>
      <w:r w:rsidRPr="00981563">
        <w:t>The stakeholder should evaluate candidate actions considered after identification of an unsafe condition</w:t>
      </w:r>
      <w:r w:rsidR="00457720">
        <w:t xml:space="preserve"> </w:t>
      </w:r>
      <w:r w:rsidR="000C4573" w:rsidRPr="00195330">
        <w:t>with the appropriate manufacturer, designer, or operators.</w:t>
      </w:r>
      <w:r w:rsidR="00E442E7">
        <w:t xml:space="preserve"> </w:t>
      </w:r>
      <w:r w:rsidR="000C4573" w:rsidRPr="00195330">
        <w:t xml:space="preserve">This </w:t>
      </w:r>
      <w:r w:rsidR="00FA2D75">
        <w:t xml:space="preserve">evaluation </w:t>
      </w:r>
      <w:r w:rsidR="000C4573" w:rsidRPr="00195330">
        <w:t>consider</w:t>
      </w:r>
      <w:r w:rsidR="00996F74">
        <w:t>s</w:t>
      </w:r>
      <w:r w:rsidR="000C4573" w:rsidRPr="00195330">
        <w:t xml:space="preserve"> the</w:t>
      </w:r>
      <w:r w:rsidR="00F42E2C">
        <w:t xml:space="preserve"> action’s</w:t>
      </w:r>
      <w:r w:rsidR="000C4573" w:rsidRPr="00195330">
        <w:t xml:space="preserve"> capacity to reduce the future risk to acceptable levels</w:t>
      </w:r>
      <w:r w:rsidR="00F80256" w:rsidRPr="00195330">
        <w:t>.</w:t>
      </w:r>
      <w:r w:rsidR="00E442E7">
        <w:t xml:space="preserve"> </w:t>
      </w:r>
      <w:r w:rsidR="000C4573" w:rsidRPr="00195330">
        <w:t>From a technical perspective, several candidate actions may be available</w:t>
      </w:r>
      <w:r w:rsidR="00617C77" w:rsidRPr="00D95DC4">
        <w:t>.</w:t>
      </w:r>
      <w:r w:rsidR="00E442E7">
        <w:t xml:space="preserve"> </w:t>
      </w:r>
      <w:r w:rsidR="00617C77" w:rsidRPr="00D95DC4">
        <w:t>T</w:t>
      </w:r>
      <w:r w:rsidR="000C4573" w:rsidRPr="00D95DC4">
        <w:t>he selected action(s) should consider such issues as confidence in the effectiveness of the corrective action, availability of the resources necessary to support the corrective action, and the ability of operators to incorporate the</w:t>
      </w:r>
      <w:r w:rsidR="00040518" w:rsidRPr="00D95DC4">
        <w:t xml:space="preserve"> </w:t>
      </w:r>
      <w:r w:rsidR="000C4573" w:rsidRPr="00D95DC4">
        <w:t>corrective action</w:t>
      </w:r>
      <w:r w:rsidR="00040518" w:rsidRPr="00D95DC4">
        <w:t xml:space="preserve"> expediently</w:t>
      </w:r>
      <w:r w:rsidR="00B473D3">
        <w:t xml:space="preserve"> and </w:t>
      </w:r>
      <w:r w:rsidR="00B473D3" w:rsidRPr="00B86B99">
        <w:t>adequately</w:t>
      </w:r>
      <w:r w:rsidR="000C4573" w:rsidRPr="00D95DC4">
        <w:t>.</w:t>
      </w:r>
      <w:r w:rsidR="00E442E7">
        <w:t xml:space="preserve"> </w:t>
      </w:r>
      <w:r w:rsidR="00264656" w:rsidRPr="00D95DC4">
        <w:t xml:space="preserve">For acceptable </w:t>
      </w:r>
      <w:r w:rsidR="00FA2D75" w:rsidRPr="00D95DC4">
        <w:t>short-term</w:t>
      </w:r>
      <w:r w:rsidR="00FA2D75" w:rsidRPr="00FA2D75">
        <w:t xml:space="preserve"> </w:t>
      </w:r>
      <w:r w:rsidR="00FA2D75" w:rsidRPr="00D95DC4">
        <w:t>risk</w:t>
      </w:r>
      <w:r w:rsidR="00264656" w:rsidRPr="00D95DC4">
        <w:t xml:space="preserve">, see the risk guidelines </w:t>
      </w:r>
      <w:r w:rsidR="00617C77" w:rsidRPr="00D95DC4">
        <w:t xml:space="preserve">outlined </w:t>
      </w:r>
      <w:r w:rsidR="00264656" w:rsidRPr="00D95DC4">
        <w:t xml:space="preserve">in </w:t>
      </w:r>
      <w:r w:rsidR="00795DF5">
        <w:t>t</w:t>
      </w:r>
      <w:r w:rsidR="00D53BD5" w:rsidRPr="00D95DC4">
        <w:t xml:space="preserve">able </w:t>
      </w:r>
      <w:r w:rsidR="00264656" w:rsidRPr="00D95DC4">
        <w:t>1</w:t>
      </w:r>
      <w:r w:rsidR="00F61A86" w:rsidRPr="00D95DC4">
        <w:t xml:space="preserve"> of this AC</w:t>
      </w:r>
      <w:r w:rsidR="00264656" w:rsidRPr="00D95DC4">
        <w:t>.</w:t>
      </w:r>
    </w:p>
    <w:p w14:paraId="6D1977AB" w14:textId="77777777" w:rsidR="001735DD" w:rsidRPr="009E72CC" w:rsidRDefault="000C4573" w:rsidP="004E39DA">
      <w:pPr>
        <w:pStyle w:val="Heading3"/>
        <w:keepNext/>
        <w:keepLines/>
        <w:rPr>
          <w:rStyle w:val="Lead-in-Underlinenobold"/>
        </w:rPr>
      </w:pPr>
      <w:r w:rsidRPr="009E72CC">
        <w:rPr>
          <w:rStyle w:val="Lead-in-Underlinenobold"/>
        </w:rPr>
        <w:lastRenderedPageBreak/>
        <w:t xml:space="preserve">Estimate </w:t>
      </w:r>
      <w:r w:rsidR="001735DD">
        <w:rPr>
          <w:rStyle w:val="Lead-in-Underlinenobold"/>
        </w:rPr>
        <w:t>P</w:t>
      </w:r>
      <w:r w:rsidRPr="009E72CC">
        <w:rPr>
          <w:rStyle w:val="Lead-in-Underlinenobold"/>
        </w:rPr>
        <w:t xml:space="preserve">otential </w:t>
      </w:r>
      <w:r w:rsidR="001735DD">
        <w:rPr>
          <w:rStyle w:val="Lead-in-Underlinenobold"/>
        </w:rPr>
        <w:t>R</w:t>
      </w:r>
      <w:r w:rsidRPr="009E72CC">
        <w:rPr>
          <w:rStyle w:val="Lead-in-Underlinenobold"/>
        </w:rPr>
        <w:t xml:space="preserve">isk </w:t>
      </w:r>
      <w:r w:rsidR="001735DD">
        <w:rPr>
          <w:rStyle w:val="Lead-in-Underlinenobold"/>
        </w:rPr>
        <w:t>R</w:t>
      </w:r>
      <w:r w:rsidRPr="009E72CC">
        <w:rPr>
          <w:rStyle w:val="Lead-in-Underlinenobold"/>
        </w:rPr>
        <w:t>eduction.</w:t>
      </w:r>
    </w:p>
    <w:p w14:paraId="0510BFD4" w14:textId="06BAE20B" w:rsidR="000C4573" w:rsidRDefault="000C4573" w:rsidP="004E39DA">
      <w:pPr>
        <w:pStyle w:val="Levels1-3-OneParagraphUnderHeading"/>
        <w:keepNext/>
        <w:keepLines/>
      </w:pPr>
      <w:r w:rsidRPr="000C4573">
        <w:t xml:space="preserve">Once the candidate actions have been identified, the risk factor for the proposed </w:t>
      </w:r>
      <w:r w:rsidR="00A92931" w:rsidRPr="002F34D8">
        <w:t>control</w:t>
      </w:r>
      <w:r w:rsidRPr="002F34D8">
        <w:t xml:space="preserve"> program</w:t>
      </w:r>
      <w:r w:rsidRPr="000C4573">
        <w:t xml:space="preserve"> should be estimated using the process described above.</w:t>
      </w:r>
      <w:r w:rsidR="00E442E7">
        <w:t xml:space="preserve"> </w:t>
      </w:r>
      <w:r w:rsidRPr="000C4573">
        <w:t xml:space="preserve">This process should be performed for all </w:t>
      </w:r>
      <w:r w:rsidR="00F42E2C">
        <w:t xml:space="preserve">candidate </w:t>
      </w:r>
      <w:r w:rsidRPr="000C4573">
        <w:t>actions under consideration</w:t>
      </w:r>
      <w:r w:rsidR="00154E7B">
        <w:t>,</w:t>
      </w:r>
      <w:r w:rsidR="002D011B">
        <w:t xml:space="preserve"> </w:t>
      </w:r>
      <w:r w:rsidR="00154E7B">
        <w:t>t</w:t>
      </w:r>
      <w:r w:rsidRPr="000C4573">
        <w:t xml:space="preserve">hereby allowing the effects of different </w:t>
      </w:r>
      <w:r w:rsidRPr="002F34D8">
        <w:t>programs</w:t>
      </w:r>
      <w:r w:rsidRPr="000C4573">
        <w:t xml:space="preserve"> to be compared.</w:t>
      </w:r>
      <w:r w:rsidR="00E442E7">
        <w:t xml:space="preserve"> </w:t>
      </w:r>
      <w:r w:rsidRPr="000C4573">
        <w:t xml:space="preserve">The objective is to keep the risks to the affected fleet below the applicable guidelines until final action can be </w:t>
      </w:r>
      <w:r w:rsidR="00F42E2C">
        <w:t>taken</w:t>
      </w:r>
      <w:r w:rsidRPr="000C4573">
        <w:t xml:space="preserve"> to bring the product back to the level of safety intended by the product's original basis of certification.</w:t>
      </w:r>
      <w:r w:rsidR="00E442E7">
        <w:t xml:space="preserve"> </w:t>
      </w:r>
      <w:r w:rsidRPr="000C4573">
        <w:t>If none of the immediate corrective action programs can achieve the needed risk reductions, more aggressive action, including grounding, should be considered.</w:t>
      </w:r>
    </w:p>
    <w:p w14:paraId="6E9BE049" w14:textId="68EE7505" w:rsidR="00682C49" w:rsidRPr="000C4573" w:rsidRDefault="000237DA" w:rsidP="004E39DA">
      <w:pPr>
        <w:pStyle w:val="Levels1-3-Note"/>
        <w:keepNext/>
        <w:keepLines/>
      </w:pPr>
      <w:r>
        <w:t xml:space="preserve">Although the unsafe condition has not fully been resolved while a </w:t>
      </w:r>
      <w:r w:rsidRPr="002F34D8">
        <w:t>control program</w:t>
      </w:r>
      <w:r>
        <w:t xml:space="preserve"> is addressing it, operation while t</w:t>
      </w:r>
      <w:r w:rsidR="00A805B7">
        <w:t xml:space="preserve">he condition is </w:t>
      </w:r>
      <w:r>
        <w:t xml:space="preserve">being mitigated </w:t>
      </w:r>
      <w:r w:rsidR="003D4261">
        <w:t>may be</w:t>
      </w:r>
      <w:r w:rsidR="00A805B7">
        <w:t xml:space="preserve"> acceptable</w:t>
      </w:r>
      <w:r>
        <w:t>.</w:t>
      </w:r>
    </w:p>
    <w:p w14:paraId="6CF83A2B" w14:textId="77777777" w:rsidR="001735DD" w:rsidRPr="009E72CC" w:rsidRDefault="000C4573" w:rsidP="009E72CC">
      <w:pPr>
        <w:pStyle w:val="Heading3"/>
        <w:rPr>
          <w:rStyle w:val="Lead-in-Underlinenobold"/>
        </w:rPr>
      </w:pPr>
      <w:r w:rsidRPr="009E72CC">
        <w:rPr>
          <w:rStyle w:val="Lead-in-Underlinenobold"/>
        </w:rPr>
        <w:t xml:space="preserve">Estimate </w:t>
      </w:r>
      <w:r w:rsidR="004B46A9">
        <w:rPr>
          <w:rStyle w:val="Lead-in-Underlinenobold"/>
        </w:rPr>
        <w:t xml:space="preserve">Impact on </w:t>
      </w:r>
      <w:r w:rsidR="001735DD">
        <w:rPr>
          <w:rStyle w:val="Lead-in-Underlinenobold"/>
        </w:rPr>
        <w:t>R</w:t>
      </w:r>
      <w:r w:rsidR="001735DD" w:rsidRPr="009E72CC">
        <w:rPr>
          <w:rStyle w:val="Lead-in-Underlinenobold"/>
        </w:rPr>
        <w:t>esource</w:t>
      </w:r>
      <w:r w:rsidR="004B46A9">
        <w:rPr>
          <w:rStyle w:val="Lead-in-Underlinenobold"/>
        </w:rPr>
        <w:t>s</w:t>
      </w:r>
      <w:r w:rsidRPr="009E72CC">
        <w:rPr>
          <w:rStyle w:val="Lead-in-Underlinenobold"/>
        </w:rPr>
        <w:t>.</w:t>
      </w:r>
    </w:p>
    <w:p w14:paraId="09DC61F6" w14:textId="0828A7BD" w:rsidR="000C4573" w:rsidRPr="000C4573" w:rsidRDefault="000C4573" w:rsidP="009E72CC">
      <w:pPr>
        <w:pStyle w:val="Levels1-3-OneParagraphUnderHeading"/>
      </w:pPr>
      <w:r w:rsidRPr="000C4573">
        <w:t>Resources are generally considered to be time, material</w:t>
      </w:r>
      <w:r w:rsidR="001A5428">
        <w:t xml:space="preserve"> </w:t>
      </w:r>
      <w:r w:rsidR="008B351B">
        <w:t>(</w:t>
      </w:r>
      <w:r w:rsidRPr="000C4573">
        <w:t>parts and inspection equipment</w:t>
      </w:r>
      <w:r w:rsidR="008B351B">
        <w:t>)</w:t>
      </w:r>
      <w:r w:rsidRPr="000C4573">
        <w:t>, and labor.</w:t>
      </w:r>
      <w:r w:rsidR="00E442E7">
        <w:t xml:space="preserve"> </w:t>
      </w:r>
      <w:r w:rsidRPr="000C4573">
        <w:t xml:space="preserve">However, there </w:t>
      </w:r>
      <w:r w:rsidR="00B86B99">
        <w:t>may be</w:t>
      </w:r>
      <w:r w:rsidRPr="000C4573">
        <w:t xml:space="preserve"> additional considerations such as shop capacity, parts distribution, </w:t>
      </w:r>
      <w:r w:rsidR="00B80B03">
        <w:t xml:space="preserve">and </w:t>
      </w:r>
      <w:r w:rsidRPr="000C4573">
        <w:t>operational disruptions.</w:t>
      </w:r>
      <w:r w:rsidR="00E442E7">
        <w:t xml:space="preserve"> </w:t>
      </w:r>
      <w:r w:rsidRPr="000C4573">
        <w:t>The extent of these resources should be estimated to quantify the impact of the AD or other corrective action</w:t>
      </w:r>
      <w:r w:rsidR="00E513F1">
        <w:t xml:space="preserve">, </w:t>
      </w:r>
      <w:r w:rsidRPr="000C4573">
        <w:t>allow for timely provisioning</w:t>
      </w:r>
      <w:r w:rsidR="006D5086">
        <w:t>,</w:t>
      </w:r>
      <w:r w:rsidRPr="000C4573">
        <w:t xml:space="preserve"> and aid in the determination of desirable tradeoffs between </w:t>
      </w:r>
      <w:r w:rsidRPr="00B86B99">
        <w:t>resources and</w:t>
      </w:r>
      <w:r w:rsidRPr="000C4573">
        <w:t xml:space="preserve"> risk.</w:t>
      </w:r>
      <w:r w:rsidR="00E442E7">
        <w:t xml:space="preserve"> </w:t>
      </w:r>
      <w:r w:rsidRPr="000C4573">
        <w:t>Depending on the analysis that has been performed, the number of replacement parts, shop visits, inspections, etc., may be available as output parameters.</w:t>
      </w:r>
      <w:r w:rsidR="00E442E7">
        <w:t xml:space="preserve"> </w:t>
      </w:r>
      <w:r w:rsidRPr="000C4573">
        <w:t xml:space="preserve">However, the results from the steps used to establish the risk factor </w:t>
      </w:r>
      <w:r w:rsidR="005006E0" w:rsidRPr="000C4573">
        <w:t>could</w:t>
      </w:r>
      <w:r w:rsidRPr="000C4573">
        <w:t xml:space="preserve"> likewise be used to estimate </w:t>
      </w:r>
      <w:r w:rsidR="00E513F1">
        <w:t xml:space="preserve">an </w:t>
      </w:r>
      <w:r w:rsidRPr="000C4573">
        <w:t>impact on resources.</w:t>
      </w:r>
      <w:r w:rsidR="00E442E7">
        <w:t xml:space="preserve"> </w:t>
      </w:r>
      <w:r w:rsidRPr="000C4573">
        <w:t>Data</w:t>
      </w:r>
      <w:r w:rsidR="00E57A7F">
        <w:t xml:space="preserve"> </w:t>
      </w:r>
      <w:r w:rsidR="00E57A7F" w:rsidRPr="000C4573">
        <w:t>from the manufacturer(s), operators</w:t>
      </w:r>
      <w:r w:rsidR="00E57A7F">
        <w:t>,</w:t>
      </w:r>
      <w:r w:rsidR="00E57A7F" w:rsidRPr="000C4573">
        <w:t xml:space="preserve"> or both</w:t>
      </w:r>
      <w:r w:rsidRPr="000C4573">
        <w:t xml:space="preserve"> will often be</w:t>
      </w:r>
      <w:r w:rsidR="00F1266E" w:rsidRPr="000C4573">
        <w:t xml:space="preserve"> </w:t>
      </w:r>
      <w:r w:rsidR="00E57A7F">
        <w:t>used</w:t>
      </w:r>
      <w:r w:rsidRPr="000C4573">
        <w:t xml:space="preserve"> in this process.</w:t>
      </w:r>
    </w:p>
    <w:p w14:paraId="66A6C1DA" w14:textId="77777777" w:rsidR="001735DD" w:rsidRPr="00E60066" w:rsidRDefault="000C4573" w:rsidP="009E72CC">
      <w:pPr>
        <w:pStyle w:val="Heading3"/>
        <w:rPr>
          <w:rStyle w:val="Lead-in-Underlinenobold"/>
        </w:rPr>
      </w:pPr>
      <w:r w:rsidRPr="001F5C1B">
        <w:rPr>
          <w:rStyle w:val="Lead-in-Underlinenobold"/>
        </w:rPr>
        <w:t xml:space="preserve">Rank </w:t>
      </w:r>
      <w:r w:rsidR="001735DD" w:rsidRPr="001F5C1B">
        <w:rPr>
          <w:rStyle w:val="Lead-in-Underlinenobold"/>
        </w:rPr>
        <w:t>P</w:t>
      </w:r>
      <w:r w:rsidRPr="001F5C1B">
        <w:rPr>
          <w:rStyle w:val="Lead-in-Underlinenobold"/>
        </w:rPr>
        <w:t xml:space="preserve">ractical </w:t>
      </w:r>
      <w:r w:rsidR="001735DD" w:rsidRPr="00E60066">
        <w:rPr>
          <w:rStyle w:val="Lead-in-Underlinenobold"/>
        </w:rPr>
        <w:t>C</w:t>
      </w:r>
      <w:r w:rsidRPr="00E60066">
        <w:rPr>
          <w:rStyle w:val="Lead-in-Underlinenobold"/>
        </w:rPr>
        <w:t xml:space="preserve">andidate </w:t>
      </w:r>
      <w:r w:rsidR="001735DD" w:rsidRPr="00E60066">
        <w:rPr>
          <w:rStyle w:val="Lead-in-Underlinenobold"/>
        </w:rPr>
        <w:t>A</w:t>
      </w:r>
      <w:r w:rsidRPr="00E60066">
        <w:rPr>
          <w:rStyle w:val="Lead-in-Underlinenobold"/>
        </w:rPr>
        <w:t>ctions.</w:t>
      </w:r>
    </w:p>
    <w:p w14:paraId="0D3106F5" w14:textId="5AAB44F6" w:rsidR="009953AA" w:rsidRDefault="000C4573" w:rsidP="00D5735F">
      <w:pPr>
        <w:pStyle w:val="Levels1-3-OneParagraphUnderHeading"/>
      </w:pPr>
      <w:r w:rsidRPr="000C4573">
        <w:t xml:space="preserve">Given that several candidate actions provide </w:t>
      </w:r>
      <w:r w:rsidR="0040235A">
        <w:t xml:space="preserve">an </w:t>
      </w:r>
      <w:r w:rsidRPr="000C4573">
        <w:t xml:space="preserve">equivalent reduction in risk, they can </w:t>
      </w:r>
      <w:r w:rsidR="004B61B3">
        <w:t xml:space="preserve">be </w:t>
      </w:r>
      <w:r w:rsidRPr="000C4573">
        <w:t>ranked regarding the impact on resources.</w:t>
      </w:r>
      <w:r w:rsidR="00E442E7">
        <w:t xml:space="preserve"> </w:t>
      </w:r>
      <w:r w:rsidRPr="000C4573">
        <w:t xml:space="preserve">Small </w:t>
      </w:r>
      <w:r w:rsidR="00B80B03">
        <w:t>increases</w:t>
      </w:r>
      <w:r w:rsidRPr="000C4573">
        <w:t xml:space="preserve"> in risk </w:t>
      </w:r>
      <w:r w:rsidR="00B80B03">
        <w:t>may be acceptable</w:t>
      </w:r>
      <w:r w:rsidRPr="000C4573">
        <w:t xml:space="preserve"> whe</w:t>
      </w:r>
      <w:r w:rsidR="005A3C37">
        <w:t>n</w:t>
      </w:r>
      <w:r w:rsidR="00AC284F">
        <w:t xml:space="preserve"> </w:t>
      </w:r>
      <w:r w:rsidRPr="000C4573">
        <w:t xml:space="preserve">a candidate action with lower risk is of much greater difficulty to effectively </w:t>
      </w:r>
      <w:r w:rsidR="000709A9" w:rsidRPr="000C4573">
        <w:t>implement</w:t>
      </w:r>
      <w:r w:rsidR="000709A9">
        <w:t xml:space="preserve"> or</w:t>
      </w:r>
      <w:r w:rsidRPr="000C4573">
        <w:t xml:space="preserve"> is much more burdensome than a slightly riskier option.</w:t>
      </w:r>
      <w:r w:rsidR="00E442E7">
        <w:t xml:space="preserve"> </w:t>
      </w:r>
      <w:r w:rsidRPr="000C4573">
        <w:t xml:space="preserve">Each candidate action should be evaluated against its effectiveness </w:t>
      </w:r>
      <w:r w:rsidR="00C37F05">
        <w:t>(</w:t>
      </w:r>
      <w:r w:rsidRPr="000C4573">
        <w:t>meaning its relative reduction of risk</w:t>
      </w:r>
      <w:r w:rsidR="00C37F05">
        <w:t>)</w:t>
      </w:r>
      <w:r w:rsidRPr="000C4573">
        <w:t>, availability of resources</w:t>
      </w:r>
      <w:r w:rsidR="00DF72CC">
        <w:t xml:space="preserve"> </w:t>
      </w:r>
      <w:r w:rsidR="00C37F05">
        <w:t>(</w:t>
      </w:r>
      <w:r w:rsidR="00DF72CC">
        <w:t>such as</w:t>
      </w:r>
      <w:r w:rsidRPr="000C4573">
        <w:t xml:space="preserve"> shop visit capacity, material availability, personnel, etc.</w:t>
      </w:r>
      <w:r w:rsidR="00C37F05">
        <w:t>)</w:t>
      </w:r>
      <w:r w:rsidRPr="000C4573">
        <w:t xml:space="preserve">, </w:t>
      </w:r>
      <w:r w:rsidR="00E93748">
        <w:t xml:space="preserve">and </w:t>
      </w:r>
      <w:r w:rsidRPr="000C4573">
        <w:t xml:space="preserve">how quickly </w:t>
      </w:r>
      <w:r w:rsidR="00F074A2">
        <w:t xml:space="preserve">the candidate action </w:t>
      </w:r>
      <w:r w:rsidRPr="000C4573">
        <w:t>can be implemented, how easy it is to implement, and its relative cost.</w:t>
      </w:r>
      <w:r w:rsidR="00E442E7">
        <w:t xml:space="preserve"> </w:t>
      </w:r>
      <w:r w:rsidRPr="000C4573">
        <w:t xml:space="preserve">Candidate actions include such items </w:t>
      </w:r>
      <w:r w:rsidR="00A303A7" w:rsidRPr="000C4573">
        <w:t>as</w:t>
      </w:r>
      <w:r w:rsidR="00FA31C4">
        <w:t>:</w:t>
      </w:r>
    </w:p>
    <w:p w14:paraId="74EA74F5" w14:textId="6A44FFB3" w:rsidR="006F559F" w:rsidRDefault="009953AA" w:rsidP="00FA31C4">
      <w:pPr>
        <w:pStyle w:val="Levels1-3-Bullet"/>
      </w:pPr>
      <w:r>
        <w:t>M</w:t>
      </w:r>
      <w:r w:rsidR="000C4573" w:rsidRPr="000C4573">
        <w:t xml:space="preserve">anufacturing, maintenance, or operational procedural </w:t>
      </w:r>
      <w:proofErr w:type="gramStart"/>
      <w:r w:rsidR="000C4573" w:rsidRPr="000C4573">
        <w:t>changes</w:t>
      </w:r>
      <w:r w:rsidR="00FA31C4">
        <w:t>;</w:t>
      </w:r>
      <w:proofErr w:type="gramEnd"/>
    </w:p>
    <w:p w14:paraId="6195E060" w14:textId="77777777" w:rsidR="006F559F" w:rsidRDefault="006F559F" w:rsidP="00F56AE4">
      <w:pPr>
        <w:pStyle w:val="Levels1-3-Bullet"/>
      </w:pPr>
      <w:r>
        <w:t>O</w:t>
      </w:r>
      <w:r w:rsidR="000C4573" w:rsidRPr="000C4573">
        <w:t xml:space="preserve">n-wing or in-shop </w:t>
      </w:r>
      <w:proofErr w:type="gramStart"/>
      <w:r w:rsidR="000C4573" w:rsidRPr="000C4573">
        <w:t>inspections;</w:t>
      </w:r>
      <w:proofErr w:type="gramEnd"/>
    </w:p>
    <w:p w14:paraId="4DCDA900" w14:textId="77777777" w:rsidR="006F559F" w:rsidRDefault="006F559F" w:rsidP="00F56AE4">
      <w:pPr>
        <w:pStyle w:val="Levels1-3-Bullet"/>
      </w:pPr>
      <w:r>
        <w:t>L</w:t>
      </w:r>
      <w:r w:rsidR="000C4573" w:rsidRPr="000C4573">
        <w:t>imitations on time-limited dispatch (TLD); and</w:t>
      </w:r>
    </w:p>
    <w:p w14:paraId="65D954F1" w14:textId="77777777" w:rsidR="006F559F" w:rsidRDefault="006F559F" w:rsidP="00F56AE4">
      <w:pPr>
        <w:pStyle w:val="Levels1-3-Bullet"/>
      </w:pPr>
      <w:r>
        <w:t>P</w:t>
      </w:r>
      <w:r w:rsidR="000C4573" w:rsidRPr="000C4573">
        <w:t>art repairs, replacement, or modifications.</w:t>
      </w:r>
    </w:p>
    <w:p w14:paraId="5D9C89A0" w14:textId="1FC6904F" w:rsidR="000C4573" w:rsidRPr="000C4573" w:rsidRDefault="000C4573" w:rsidP="009E72CC">
      <w:pPr>
        <w:pStyle w:val="Levels1-3-OneParagraphUnderHeading"/>
      </w:pPr>
      <w:r w:rsidRPr="000C4573">
        <w:t>The number of cycles or hours between initial and repetitive actions should also be evaluated.</w:t>
      </w:r>
      <w:r w:rsidR="00E442E7">
        <w:t xml:space="preserve"> </w:t>
      </w:r>
      <w:r w:rsidRPr="000C4573">
        <w:t xml:space="preserve">The ideal action would be inexpensive, easy to perform, possible to begin immediately, and </w:t>
      </w:r>
      <w:r w:rsidR="000237DA">
        <w:t>completely</w:t>
      </w:r>
      <w:r w:rsidRPr="000C4573">
        <w:t xml:space="preserve"> effective.</w:t>
      </w:r>
      <w:r w:rsidR="00E442E7">
        <w:t xml:space="preserve"> </w:t>
      </w:r>
      <w:r w:rsidRPr="000C4573">
        <w:t>The real situation often requires trading off these characteristics.</w:t>
      </w:r>
      <w:r w:rsidR="00E442E7">
        <w:t xml:space="preserve"> </w:t>
      </w:r>
      <w:r w:rsidRPr="000C4573">
        <w:t>For example, developing an accurate inspection tool and method that can be used for engines on</w:t>
      </w:r>
      <w:r w:rsidR="00271CB6">
        <w:t>-</w:t>
      </w:r>
      <w:r w:rsidRPr="000C4573">
        <w:t>wing may mean inspection does not begin immediately.</w:t>
      </w:r>
    </w:p>
    <w:p w14:paraId="5958A46D" w14:textId="77777777" w:rsidR="001735DD" w:rsidRPr="00F757D8" w:rsidRDefault="000C4573" w:rsidP="009E72CC">
      <w:pPr>
        <w:pStyle w:val="Heading3"/>
        <w:rPr>
          <w:rStyle w:val="Lead-in-Underlinenobold"/>
        </w:rPr>
      </w:pPr>
      <w:r w:rsidRPr="00F757D8">
        <w:rPr>
          <w:rStyle w:val="Lead-in-Underlinenobold"/>
        </w:rPr>
        <w:lastRenderedPageBreak/>
        <w:t xml:space="preserve">Develop and </w:t>
      </w:r>
      <w:r w:rsidR="001735DD" w:rsidRPr="00F757D8">
        <w:rPr>
          <w:rStyle w:val="Lead-in-Underlinenobold"/>
        </w:rPr>
        <w:t>I</w:t>
      </w:r>
      <w:r w:rsidRPr="00F757D8">
        <w:rPr>
          <w:rStyle w:val="Lead-in-Underlinenobold"/>
        </w:rPr>
        <w:t xml:space="preserve">mplement </w:t>
      </w:r>
      <w:r w:rsidR="001735DD" w:rsidRPr="00F757D8">
        <w:rPr>
          <w:rStyle w:val="Lead-in-Underlinenobold"/>
        </w:rPr>
        <w:t>A</w:t>
      </w:r>
      <w:r w:rsidRPr="00F757D8">
        <w:rPr>
          <w:rStyle w:val="Lead-in-Underlinenobold"/>
        </w:rPr>
        <w:t xml:space="preserve">ppropriate </w:t>
      </w:r>
      <w:r w:rsidR="001735DD" w:rsidRPr="00F757D8">
        <w:rPr>
          <w:rStyle w:val="Lead-in-Underlinenobold"/>
        </w:rPr>
        <w:t>R</w:t>
      </w:r>
      <w:r w:rsidRPr="00F757D8">
        <w:rPr>
          <w:rStyle w:val="Lead-in-Underlinenobold"/>
        </w:rPr>
        <w:t>esponses.</w:t>
      </w:r>
    </w:p>
    <w:p w14:paraId="38A8D99E" w14:textId="01C9DB84" w:rsidR="00402478" w:rsidRDefault="000C4573" w:rsidP="009E72CC">
      <w:pPr>
        <w:pStyle w:val="Levels1-3-OneParagraphUnderHeading"/>
      </w:pPr>
      <w:r w:rsidRPr="000C4573">
        <w:t xml:space="preserve">The objective of all </w:t>
      </w:r>
      <w:r w:rsidRPr="00E20BF5">
        <w:t xml:space="preserve">continued </w:t>
      </w:r>
      <w:r w:rsidR="00841146">
        <w:t xml:space="preserve">operational safety </w:t>
      </w:r>
      <w:r w:rsidRPr="000C4573">
        <w:t>decisions is to maintain an acceptable level of safety by reducing the risks posed by future events.</w:t>
      </w:r>
      <w:r w:rsidR="00E442E7">
        <w:t xml:space="preserve"> </w:t>
      </w:r>
      <w:r w:rsidRPr="000C4573">
        <w:t>Selection of actions, including taking no specific action, should be based on the specific circumstances and an assessment of the risk of future occurrences of the unsafe condition.</w:t>
      </w:r>
      <w:r w:rsidR="00E442E7">
        <w:t xml:space="preserve"> </w:t>
      </w:r>
      <w:r w:rsidRPr="000C4573">
        <w:t xml:space="preserve">Prohibition of </w:t>
      </w:r>
      <w:r w:rsidR="00E93748">
        <w:t>engine</w:t>
      </w:r>
      <w:r w:rsidR="00EF2EC6" w:rsidRPr="000C4573">
        <w:t xml:space="preserve"> </w:t>
      </w:r>
      <w:r w:rsidRPr="000C4573">
        <w:t xml:space="preserve">operation based on an observed unsafe condition, pending determination of the root cause and appropriate corrective action, should be reserved for situations </w:t>
      </w:r>
      <w:r w:rsidR="00F757D8">
        <w:t>where</w:t>
      </w:r>
      <w:r w:rsidRPr="000C4573">
        <w:t xml:space="preserve"> immediate action is </w:t>
      </w:r>
      <w:r w:rsidR="000709A9" w:rsidRPr="000C4573">
        <w:t>necessary,</w:t>
      </w:r>
      <w:r w:rsidRPr="000C4573">
        <w:t xml:space="preserve"> </w:t>
      </w:r>
      <w:r w:rsidR="00B2790D">
        <w:t>and no other</w:t>
      </w:r>
      <w:r w:rsidRPr="000C4573">
        <w:t xml:space="preserve"> option </w:t>
      </w:r>
      <w:r w:rsidR="007136ED">
        <w:t>would be</w:t>
      </w:r>
      <w:r w:rsidRPr="000C4573">
        <w:t xml:space="preserve"> </w:t>
      </w:r>
      <w:r w:rsidR="00E93748">
        <w:t>effective</w:t>
      </w:r>
      <w:r w:rsidR="007136ED">
        <w:t xml:space="preserve"> in addressing the unsafe condition</w:t>
      </w:r>
      <w:r w:rsidRPr="000C4573">
        <w:t>.</w:t>
      </w:r>
      <w:r w:rsidR="00E442E7">
        <w:t xml:space="preserve"> </w:t>
      </w:r>
      <w:r w:rsidR="009E75F1">
        <w:t xml:space="preserve">See paragraph </w:t>
      </w:r>
      <w:r w:rsidR="005F4A15">
        <w:t>11.3</w:t>
      </w:r>
      <w:r w:rsidR="009E75F1">
        <w:t xml:space="preserve"> for risk guidelines for immediate action.</w:t>
      </w:r>
    </w:p>
    <w:p w14:paraId="40B14B14" w14:textId="6A4F56A9" w:rsidR="000C4573" w:rsidRPr="000C4573" w:rsidRDefault="000C4573" w:rsidP="00A471BF">
      <w:pPr>
        <w:pStyle w:val="Levels1-3-Note"/>
      </w:pPr>
      <w:r w:rsidRPr="000C4573">
        <w:t xml:space="preserve">If the FAA decides not to implement a particular candidate corrective action, the decision and its justification </w:t>
      </w:r>
      <w:r w:rsidR="00260C0A">
        <w:t>must</w:t>
      </w:r>
      <w:r w:rsidRPr="000C4573">
        <w:t xml:space="preserve"> be filed</w:t>
      </w:r>
      <w:r w:rsidR="00747D10">
        <w:t xml:space="preserve"> by the involved stakeholders in the project folder</w:t>
      </w:r>
      <w:r w:rsidR="00260C0A">
        <w:t>, following FAA policies related to office and retention length</w:t>
      </w:r>
      <w:r w:rsidRPr="000C4573">
        <w:t xml:space="preserve"> for future reference.</w:t>
      </w:r>
      <w:r w:rsidR="00E442E7">
        <w:t xml:space="preserve"> </w:t>
      </w:r>
      <w:r w:rsidRPr="000C4573">
        <w:t xml:space="preserve">Closure documentation should include justification and reasons for </w:t>
      </w:r>
      <w:r w:rsidR="0040235A">
        <w:t xml:space="preserve">the </w:t>
      </w:r>
      <w:r w:rsidRPr="000C4573">
        <w:t>determination of non-implementation of the corrective action.</w:t>
      </w:r>
    </w:p>
    <w:p w14:paraId="6C9A1F72" w14:textId="77777777" w:rsidR="001735DD" w:rsidRPr="00F757D8" w:rsidRDefault="000C4573" w:rsidP="009E72CC">
      <w:pPr>
        <w:pStyle w:val="Heading3"/>
        <w:rPr>
          <w:rStyle w:val="Lead-in-Underlinenobold"/>
        </w:rPr>
      </w:pPr>
      <w:r w:rsidRPr="00F757D8">
        <w:rPr>
          <w:rStyle w:val="Lead-in-Underlinenobold"/>
        </w:rPr>
        <w:t xml:space="preserve">Verify </w:t>
      </w:r>
      <w:r w:rsidR="001735DD">
        <w:rPr>
          <w:rStyle w:val="Lead-in-Underlinenobold"/>
        </w:rPr>
        <w:t>R</w:t>
      </w:r>
      <w:r w:rsidRPr="00F757D8">
        <w:rPr>
          <w:rStyle w:val="Lead-in-Underlinenobold"/>
        </w:rPr>
        <w:t xml:space="preserve">esults of </w:t>
      </w:r>
      <w:r w:rsidR="001735DD">
        <w:rPr>
          <w:rStyle w:val="Lead-in-Underlinenobold"/>
        </w:rPr>
        <w:t>C</w:t>
      </w:r>
      <w:r w:rsidRPr="00F757D8">
        <w:rPr>
          <w:rStyle w:val="Lead-in-Underlinenobold"/>
        </w:rPr>
        <w:t xml:space="preserve">orrective </w:t>
      </w:r>
      <w:r w:rsidR="001735DD">
        <w:rPr>
          <w:rStyle w:val="Lead-in-Underlinenobold"/>
        </w:rPr>
        <w:t>A</w:t>
      </w:r>
      <w:r w:rsidRPr="00F757D8">
        <w:rPr>
          <w:rStyle w:val="Lead-in-Underlinenobold"/>
        </w:rPr>
        <w:t>ctions.</w:t>
      </w:r>
    </w:p>
    <w:p w14:paraId="6FB548CE" w14:textId="67BAF876" w:rsidR="000C4573" w:rsidRPr="000C4573" w:rsidRDefault="000C4573" w:rsidP="009E72CC">
      <w:pPr>
        <w:pStyle w:val="Levels1-3-OneParagraphUnderHeading"/>
      </w:pPr>
      <w:r w:rsidRPr="000C4573">
        <w:t xml:space="preserve">Initial corrective actions, whether immediate reactions or </w:t>
      </w:r>
      <w:r w:rsidR="007A6A81">
        <w:t xml:space="preserve">responses </w:t>
      </w:r>
      <w:r w:rsidRPr="000C4573">
        <w:t>initial</w:t>
      </w:r>
      <w:r w:rsidR="007A6A81">
        <w:t>ly</w:t>
      </w:r>
      <w:r w:rsidRPr="000C4573">
        <w:t xml:space="preserve"> considered</w:t>
      </w:r>
      <w:r w:rsidR="008B16BD">
        <w:t xml:space="preserve"> </w:t>
      </w:r>
      <w:r w:rsidR="00457720">
        <w:t>(</w:t>
      </w:r>
      <w:r w:rsidR="000A2E08">
        <w:t>e.g.,</w:t>
      </w:r>
      <w:r w:rsidR="0010165B">
        <w:t xml:space="preserve"> </w:t>
      </w:r>
      <w:r w:rsidR="008B16BD">
        <w:t>the issuance of an immediately adopted AD</w:t>
      </w:r>
      <w:r w:rsidR="0071469F">
        <w:t>)</w:t>
      </w:r>
      <w:r w:rsidRPr="000C4573">
        <w:t xml:space="preserve">, may not represent the final action </w:t>
      </w:r>
      <w:r w:rsidR="00E57A7F">
        <w:t xml:space="preserve">needed to </w:t>
      </w:r>
      <w:r w:rsidRPr="000C4573">
        <w:t>address the unsafe condition.</w:t>
      </w:r>
      <w:r w:rsidR="00E442E7">
        <w:t xml:space="preserve"> </w:t>
      </w:r>
      <w:r w:rsidRPr="000C4573">
        <w:t>To that end, service experience and any other data gathered during the action implementation should be carefully reviewed to valid</w:t>
      </w:r>
      <w:r w:rsidR="007A6A81">
        <w:t>ate</w:t>
      </w:r>
      <w:r w:rsidRPr="000C4573">
        <w:t xml:space="preserve"> the analytical process and the estimated risks.</w:t>
      </w:r>
    </w:p>
    <w:p w14:paraId="18B6F25C" w14:textId="77777777" w:rsidR="001735DD" w:rsidRPr="00F757D8" w:rsidRDefault="000C4573" w:rsidP="009E72CC">
      <w:pPr>
        <w:pStyle w:val="Heading3"/>
        <w:rPr>
          <w:rStyle w:val="Lead-in-Underlinenobold"/>
        </w:rPr>
      </w:pPr>
      <w:r w:rsidRPr="00F757D8">
        <w:rPr>
          <w:rStyle w:val="Lead-in-Underlinenobold"/>
        </w:rPr>
        <w:t xml:space="preserve">Monitor </w:t>
      </w:r>
      <w:r w:rsidR="001735DD">
        <w:rPr>
          <w:rStyle w:val="Lead-in-Underlinenobold"/>
        </w:rPr>
        <w:t>I</w:t>
      </w:r>
      <w:r w:rsidRPr="00F757D8">
        <w:rPr>
          <w:rStyle w:val="Lead-in-Underlinenobold"/>
        </w:rPr>
        <w:t xml:space="preserve">mplementation and </w:t>
      </w:r>
      <w:r w:rsidR="001735DD">
        <w:rPr>
          <w:rStyle w:val="Lead-in-Underlinenobold"/>
        </w:rPr>
        <w:t>I</w:t>
      </w:r>
      <w:r w:rsidRPr="00F757D8">
        <w:rPr>
          <w:rStyle w:val="Lead-in-Underlinenobold"/>
        </w:rPr>
        <w:t xml:space="preserve">mpacts of the </w:t>
      </w:r>
      <w:r w:rsidR="001735DD">
        <w:rPr>
          <w:rStyle w:val="Lead-in-Underlinenobold"/>
        </w:rPr>
        <w:t>C</w:t>
      </w:r>
      <w:r w:rsidRPr="00F757D8">
        <w:rPr>
          <w:rStyle w:val="Lead-in-Underlinenobold"/>
        </w:rPr>
        <w:t xml:space="preserve">orrective </w:t>
      </w:r>
      <w:r w:rsidR="001735DD">
        <w:rPr>
          <w:rStyle w:val="Lead-in-Underlinenobold"/>
        </w:rPr>
        <w:t>A</w:t>
      </w:r>
      <w:r w:rsidRPr="00F757D8">
        <w:rPr>
          <w:rStyle w:val="Lead-in-Underlinenobold"/>
        </w:rPr>
        <w:t xml:space="preserve">ctions </w:t>
      </w:r>
      <w:r w:rsidR="001735DD">
        <w:rPr>
          <w:rStyle w:val="Lead-in-Underlinenobold"/>
        </w:rPr>
        <w:t>T</w:t>
      </w:r>
      <w:r w:rsidRPr="00F757D8">
        <w:rPr>
          <w:rStyle w:val="Lead-in-Underlinenobold"/>
        </w:rPr>
        <w:t>aken.</w:t>
      </w:r>
    </w:p>
    <w:p w14:paraId="3D7C8013" w14:textId="0878C245" w:rsidR="000C4573" w:rsidRPr="000C4573" w:rsidRDefault="000C4573" w:rsidP="009E72CC">
      <w:pPr>
        <w:pStyle w:val="Levels1-3-OneParagraphUnderHeading"/>
      </w:pPr>
      <w:r w:rsidRPr="000C4573">
        <w:t xml:space="preserve">When feasible, the rate of incorporation of the corrective action(s) should be tracked </w:t>
      </w:r>
      <w:r w:rsidR="00260C0A">
        <w:t xml:space="preserve">by all involved stakeholders </w:t>
      </w:r>
      <w:r w:rsidRPr="000C4573">
        <w:t xml:space="preserve">to verify that the action is being implemented </w:t>
      </w:r>
      <w:r w:rsidR="00AC3ED6">
        <w:t>within the timeline prescribed by the airworthiness directive</w:t>
      </w:r>
      <w:r w:rsidRPr="000C4573">
        <w:t>.</w:t>
      </w:r>
      <w:r w:rsidR="00E442E7">
        <w:t xml:space="preserve"> </w:t>
      </w:r>
      <w:r w:rsidRPr="000C4573">
        <w:t xml:space="preserve">If the action includes inspection, </w:t>
      </w:r>
      <w:r w:rsidR="00C37697">
        <w:t>t</w:t>
      </w:r>
      <w:r w:rsidR="00C37697" w:rsidRPr="00C37697">
        <w:t>he stakeholder(s) should analyze the inspection results</w:t>
      </w:r>
      <w:r w:rsidR="0071469F">
        <w:t xml:space="preserve"> </w:t>
      </w:r>
      <w:r w:rsidRPr="000C4573">
        <w:t>to help quantify incipient failures and aid assessment of the extent of the problem.</w:t>
      </w:r>
      <w:r w:rsidR="00E442E7">
        <w:t xml:space="preserve"> </w:t>
      </w:r>
      <w:r w:rsidRPr="000C4573">
        <w:t>Service experience should be tracked to ensure that the rate of occurrence</w:t>
      </w:r>
      <w:r w:rsidR="00260C0A">
        <w:t xml:space="preserve"> of the referenced event</w:t>
      </w:r>
      <w:r w:rsidRPr="000C4573">
        <w:t xml:space="preserve"> is reduced</w:t>
      </w:r>
      <w:r w:rsidR="002131FB">
        <w:t>.</w:t>
      </w:r>
      <w:r w:rsidR="00E442E7">
        <w:t xml:space="preserve"> </w:t>
      </w:r>
      <w:r w:rsidR="002131FB">
        <w:t>H</w:t>
      </w:r>
      <w:r w:rsidRPr="000C4573">
        <w:t xml:space="preserve">owever, </w:t>
      </w:r>
      <w:r w:rsidR="002131FB">
        <w:t xml:space="preserve">a </w:t>
      </w:r>
      <w:r w:rsidRPr="000C4573">
        <w:t>rate of occurrence may not be applicable in cases of rare events or small exposures.</w:t>
      </w:r>
      <w:r w:rsidR="00E442E7">
        <w:t xml:space="preserve"> </w:t>
      </w:r>
      <w:r w:rsidR="003D7715">
        <w:t>T</w:t>
      </w:r>
      <w:r w:rsidR="003D7715" w:rsidRPr="003D7715">
        <w:t>he stakeholder(s) should evaluate the service experience and inspection results against expectations developed</w:t>
      </w:r>
      <w:r w:rsidR="0071469F">
        <w:t xml:space="preserve"> </w:t>
      </w:r>
      <w:r w:rsidR="00B402DF">
        <w:t>because</w:t>
      </w:r>
      <w:r w:rsidRPr="000C4573">
        <w:t xml:space="preserve"> of any quantitative or qualitative analysis performed as part of the action.</w:t>
      </w:r>
      <w:r w:rsidR="00E442E7">
        <w:t xml:space="preserve"> </w:t>
      </w:r>
      <w:r w:rsidRPr="000C4573">
        <w:t>The inclusion of reporting requirements within the body of the AD will ensure that the operators report inspection findings</w:t>
      </w:r>
      <w:r w:rsidR="00735B6D">
        <w:t>.</w:t>
      </w:r>
      <w:r w:rsidR="00E442E7">
        <w:t xml:space="preserve"> </w:t>
      </w:r>
      <w:r w:rsidR="00735B6D">
        <w:t>T</w:t>
      </w:r>
      <w:r w:rsidRPr="000C4573">
        <w:t xml:space="preserve">his </w:t>
      </w:r>
      <w:r w:rsidR="0040235A">
        <w:t xml:space="preserve">inclusion </w:t>
      </w:r>
      <w:r w:rsidRPr="000C4573">
        <w:t xml:space="preserve">should be considered for those </w:t>
      </w:r>
      <w:r w:rsidR="00B402DF" w:rsidRPr="000C4573">
        <w:t>high risk</w:t>
      </w:r>
      <w:r w:rsidR="00260C0A">
        <w:t xml:space="preserve"> (as defined in paragraph 12.1)</w:t>
      </w:r>
      <w:r w:rsidR="00B402DF" w:rsidRPr="000C4573">
        <w:t xml:space="preserve"> </w:t>
      </w:r>
      <w:r w:rsidRPr="000C4573">
        <w:t>unsafe conditions where the inspection findings are necessary to evaluate the adequacy of actions.</w:t>
      </w:r>
      <w:r w:rsidR="00E442E7">
        <w:t xml:space="preserve"> </w:t>
      </w:r>
      <w:r w:rsidR="00735B6D">
        <w:t xml:space="preserve">FAA </w:t>
      </w:r>
      <w:r w:rsidRPr="000C4573">
        <w:t xml:space="preserve">principal </w:t>
      </w:r>
      <w:r w:rsidR="00760444">
        <w:t xml:space="preserve">aviation safety </w:t>
      </w:r>
      <w:r w:rsidRPr="000C4573">
        <w:t xml:space="preserve">inspectors or the manufacturer’s </w:t>
      </w:r>
      <w:r w:rsidR="00663357">
        <w:t>f</w:t>
      </w:r>
      <w:r w:rsidR="00663357" w:rsidRPr="000C4573">
        <w:t xml:space="preserve">ield </w:t>
      </w:r>
      <w:r w:rsidR="00663357">
        <w:t>s</w:t>
      </w:r>
      <w:r w:rsidR="00663357" w:rsidRPr="000C4573">
        <w:t xml:space="preserve">ervice </w:t>
      </w:r>
      <w:r w:rsidR="00663357">
        <w:t>r</w:t>
      </w:r>
      <w:r w:rsidR="00663357" w:rsidRPr="000C4573">
        <w:t xml:space="preserve">epresentatives </w:t>
      </w:r>
      <w:r w:rsidRPr="000C4573">
        <w:t>can</w:t>
      </w:r>
      <w:r w:rsidR="005472AE">
        <w:t xml:space="preserve"> also</w:t>
      </w:r>
      <w:r w:rsidRPr="000C4573">
        <w:t xml:space="preserve"> provide direct insights into the impact of mandated corrective actions</w:t>
      </w:r>
      <w:r w:rsidR="009B6295">
        <w:t xml:space="preserve"> independent of any reporting requirements</w:t>
      </w:r>
      <w:r w:rsidRPr="000C4573">
        <w:t>.</w:t>
      </w:r>
    </w:p>
    <w:p w14:paraId="6C4A2BC5" w14:textId="77777777" w:rsidR="001735DD" w:rsidRPr="00735B6D" w:rsidRDefault="000C4573" w:rsidP="009E72CC">
      <w:pPr>
        <w:pStyle w:val="Heading3"/>
        <w:rPr>
          <w:rStyle w:val="Lead-in-Underlinenobold"/>
        </w:rPr>
      </w:pPr>
      <w:r w:rsidRPr="00735B6D">
        <w:rPr>
          <w:rStyle w:val="Lead-in-Underlinenobold"/>
        </w:rPr>
        <w:t xml:space="preserve">Verify </w:t>
      </w:r>
      <w:r w:rsidR="001735DD">
        <w:rPr>
          <w:rStyle w:val="Lead-in-Underlinenobold"/>
        </w:rPr>
        <w:t>C</w:t>
      </w:r>
      <w:r w:rsidR="001735DD" w:rsidRPr="00735B6D">
        <w:rPr>
          <w:rStyle w:val="Lead-in-Underlinenobold"/>
        </w:rPr>
        <w:t xml:space="preserve">orrective </w:t>
      </w:r>
      <w:r w:rsidR="001735DD">
        <w:rPr>
          <w:rStyle w:val="Lead-in-Underlinenobold"/>
        </w:rPr>
        <w:t>A</w:t>
      </w:r>
      <w:r w:rsidR="001735DD" w:rsidRPr="00735B6D">
        <w:rPr>
          <w:rStyle w:val="Lead-in-Underlinenobold"/>
        </w:rPr>
        <w:t xml:space="preserve">ctions </w:t>
      </w:r>
      <w:r w:rsidRPr="00735B6D">
        <w:rPr>
          <w:rStyle w:val="Lead-in-Underlinenobold"/>
        </w:rPr>
        <w:t xml:space="preserve">were </w:t>
      </w:r>
      <w:r w:rsidR="001735DD">
        <w:rPr>
          <w:rStyle w:val="Lead-in-Underlinenobold"/>
        </w:rPr>
        <w:t>E</w:t>
      </w:r>
      <w:r w:rsidR="001735DD" w:rsidRPr="00735B6D">
        <w:rPr>
          <w:rStyle w:val="Lead-in-Underlinenobold"/>
        </w:rPr>
        <w:t>ffective</w:t>
      </w:r>
      <w:r w:rsidRPr="00735B6D">
        <w:rPr>
          <w:rStyle w:val="Lead-in-Underlinenobold"/>
        </w:rPr>
        <w:t>.</w:t>
      </w:r>
    </w:p>
    <w:p w14:paraId="747E20B8" w14:textId="22315244" w:rsidR="007610F9" w:rsidRDefault="000C4573" w:rsidP="009E72CC">
      <w:pPr>
        <w:pStyle w:val="Levels1-3-OneParagraphUnderHeading"/>
      </w:pPr>
      <w:r w:rsidRPr="000C4573">
        <w:t xml:space="preserve">Any experience that deviates significantly from </w:t>
      </w:r>
      <w:r w:rsidRPr="0071469F">
        <w:t>expectations</w:t>
      </w:r>
      <w:r w:rsidRPr="000C4573">
        <w:t xml:space="preserve"> or assumptions is grounds to revise the </w:t>
      </w:r>
      <w:r w:rsidR="001F67DC">
        <w:t xml:space="preserve">risk </w:t>
      </w:r>
      <w:r w:rsidRPr="000C4573">
        <w:t>assessment.</w:t>
      </w:r>
      <w:r w:rsidR="00E442E7">
        <w:t xml:space="preserve"> </w:t>
      </w:r>
      <w:r w:rsidR="00A1195E">
        <w:t>Continue monitoring f</w:t>
      </w:r>
      <w:r w:rsidRPr="000C4573">
        <w:t xml:space="preserve">ield experience and inspection results to ensure that any interim action continues to validate </w:t>
      </w:r>
      <w:r w:rsidR="001F67DC">
        <w:t xml:space="preserve">the </w:t>
      </w:r>
      <w:r w:rsidRPr="000C4573">
        <w:t>assumptions and predictions</w:t>
      </w:r>
      <w:r w:rsidR="001F67DC">
        <w:t xml:space="preserve"> o</w:t>
      </w:r>
      <w:r w:rsidR="00284574">
        <w:t>f</w:t>
      </w:r>
      <w:r w:rsidR="001F67DC">
        <w:t xml:space="preserve"> the risk assessment</w:t>
      </w:r>
      <w:r w:rsidRPr="000C4573">
        <w:t>.</w:t>
      </w:r>
      <w:r w:rsidR="00E442E7">
        <w:t xml:space="preserve"> </w:t>
      </w:r>
      <w:r w:rsidRPr="000C4573">
        <w:t>Final action carries with it an assumption that the causal factors have been effectively eliminated or mitigated.</w:t>
      </w:r>
      <w:r w:rsidR="00E442E7">
        <w:t xml:space="preserve"> </w:t>
      </w:r>
      <w:r w:rsidR="00AF6E6D" w:rsidRPr="00AF6E6D">
        <w:t xml:space="preserve">The stakeholder should </w:t>
      </w:r>
      <w:r w:rsidR="00AF6E6D" w:rsidRPr="00AF6E6D">
        <w:lastRenderedPageBreak/>
        <w:t>trac</w:t>
      </w:r>
      <w:r w:rsidR="0071469F">
        <w:t>k</w:t>
      </w:r>
      <w:r w:rsidR="00AF6E6D" w:rsidRPr="00AF6E6D">
        <w:t xml:space="preserve"> the field experience</w:t>
      </w:r>
      <w:r w:rsidR="00AF6E6D">
        <w:t xml:space="preserve"> </w:t>
      </w:r>
      <w:r w:rsidRPr="000C4573">
        <w:t>to validate this assumption.</w:t>
      </w:r>
      <w:r w:rsidR="00E442E7">
        <w:t xml:space="preserve"> </w:t>
      </w:r>
      <w:r w:rsidRPr="000C4573">
        <w:t>Care should be taken to ensure that any unforeseen adverse impacts of corrective actions</w:t>
      </w:r>
      <w:r w:rsidR="003646E0">
        <w:t xml:space="preserve"> taken</w:t>
      </w:r>
      <w:r w:rsidRPr="000C4573">
        <w:t xml:space="preserve"> are identified and evaluated.</w:t>
      </w:r>
    </w:p>
    <w:p w14:paraId="25BA324C" w14:textId="77777777" w:rsidR="001735DD" w:rsidRPr="00C10E6C" w:rsidRDefault="000C4573" w:rsidP="00774AB8">
      <w:pPr>
        <w:pStyle w:val="Heading3"/>
        <w:rPr>
          <w:rStyle w:val="Lead-in-Underlinenobold"/>
        </w:rPr>
      </w:pPr>
      <w:r w:rsidRPr="00C10E6C">
        <w:rPr>
          <w:rStyle w:val="Lead-in-Underlinenobold"/>
        </w:rPr>
        <w:t xml:space="preserve">Follow-on </w:t>
      </w:r>
      <w:r w:rsidR="001735DD">
        <w:rPr>
          <w:rStyle w:val="Lead-in-Underlinenobold"/>
        </w:rPr>
        <w:t>A</w:t>
      </w:r>
      <w:r w:rsidRPr="00C10E6C">
        <w:rPr>
          <w:rStyle w:val="Lead-in-Underlinenobold"/>
        </w:rPr>
        <w:t xml:space="preserve">ssessments and </w:t>
      </w:r>
      <w:r w:rsidR="001735DD">
        <w:rPr>
          <w:rStyle w:val="Lead-in-Underlinenobold"/>
        </w:rPr>
        <w:t>R</w:t>
      </w:r>
      <w:r w:rsidRPr="00C10E6C">
        <w:rPr>
          <w:rStyle w:val="Lead-in-Underlinenobold"/>
        </w:rPr>
        <w:t>esponses.</w:t>
      </w:r>
    </w:p>
    <w:p w14:paraId="73286666" w14:textId="71F6B47E" w:rsidR="00774AB8" w:rsidRDefault="004B0A19" w:rsidP="00637F7C">
      <w:pPr>
        <w:pStyle w:val="Levels1-3-OneParagraphUnderHeading"/>
      </w:pPr>
      <w:r>
        <w:t>T</w:t>
      </w:r>
      <w:r w:rsidR="000C4573" w:rsidRPr="000C4573">
        <w:t xml:space="preserve">he initial actions taken in response to an unsafe condition may be insufficient to </w:t>
      </w:r>
      <w:r w:rsidR="0040235A">
        <w:t>mitigate the risk to acceptable levels</w:t>
      </w:r>
      <w:r w:rsidR="000C4573" w:rsidRPr="000C4573">
        <w:t>.</w:t>
      </w:r>
      <w:r w:rsidR="00E442E7">
        <w:t xml:space="preserve"> </w:t>
      </w:r>
      <w:r w:rsidR="00CC1A15" w:rsidRPr="000C4573" w:rsidDel="00774AB8">
        <w:t>A complete understanding of the problems and contributing factors to the unsafe condition will most likely be available</w:t>
      </w:r>
      <w:r w:rsidR="00CC1A15" w:rsidDel="00774AB8">
        <w:t xml:space="preserve"> </w:t>
      </w:r>
      <w:r w:rsidR="00CC1A15" w:rsidRPr="000C4573" w:rsidDel="00774AB8">
        <w:t xml:space="preserve">at </w:t>
      </w:r>
      <w:r w:rsidR="00CC1A15" w:rsidDel="00774AB8">
        <w:t xml:space="preserve">a </w:t>
      </w:r>
      <w:r w:rsidR="00CC1A15" w:rsidRPr="000C4573" w:rsidDel="00774AB8">
        <w:t>later point.</w:t>
      </w:r>
      <w:r w:rsidR="00E442E7">
        <w:t xml:space="preserve"> </w:t>
      </w:r>
      <w:r w:rsidR="00AF6E6D">
        <w:t>T</w:t>
      </w:r>
      <w:r w:rsidR="00AF6E6D" w:rsidRPr="00AF6E6D">
        <w:t>herefore, the stakeholder(s) should consider follow-on responses and actions</w:t>
      </w:r>
      <w:r w:rsidR="000C4573" w:rsidRPr="000C4573">
        <w:t>.</w:t>
      </w:r>
      <w:r w:rsidR="00E442E7">
        <w:t xml:space="preserve"> </w:t>
      </w:r>
      <w:r w:rsidR="00992D41">
        <w:t>T</w:t>
      </w:r>
      <w:r w:rsidR="00992D41" w:rsidRPr="00992D41">
        <w:t>he stakeholder</w:t>
      </w:r>
      <w:r w:rsidR="00992D41">
        <w:t>(s)</w:t>
      </w:r>
      <w:r w:rsidR="00992D41" w:rsidRPr="00992D41">
        <w:t xml:space="preserve"> should apply the risk assessment process described in this section</w:t>
      </w:r>
      <w:r w:rsidR="0015378E">
        <w:t xml:space="preserve"> </w:t>
      </w:r>
      <w:r w:rsidR="00CC1A15">
        <w:t>to the decisions involved in the use of actions, whether initial or follow-on.</w:t>
      </w:r>
      <w:r w:rsidR="00E442E7">
        <w:t xml:space="preserve"> </w:t>
      </w:r>
      <w:r w:rsidR="000C4573" w:rsidRPr="000C4573">
        <w:t>The FAA response to an unsafe condition should be based on a technical understanding of the problem and should require an appropriate implementation schedule that is consistent with the risk assessment.</w:t>
      </w:r>
      <w:r w:rsidR="00E442E7">
        <w:t xml:space="preserve"> </w:t>
      </w:r>
      <w:r w:rsidR="000C4573" w:rsidRPr="000C4573">
        <w:t>When performing a follow-on assessment, the fact that exposure time has elapsed between the initial and follow-on assessments should not be used to justify extending the duration of the control program.</w:t>
      </w:r>
      <w:r w:rsidR="00E442E7">
        <w:t xml:space="preserve"> </w:t>
      </w:r>
      <w:r w:rsidR="000C4573" w:rsidRPr="000C4573" w:rsidDel="00774AB8">
        <w:t xml:space="preserve">The exposure time for evaluating the risk for follow-on actions is the amount of time </w:t>
      </w:r>
      <w:r w:rsidR="00EE1EEA">
        <w:t>needed</w:t>
      </w:r>
      <w:r w:rsidR="00EE1EEA" w:rsidRPr="000C4573" w:rsidDel="00774AB8">
        <w:t xml:space="preserve"> </w:t>
      </w:r>
      <w:r w:rsidR="000C4573" w:rsidRPr="000C4573" w:rsidDel="00774AB8">
        <w:t>to complete the entire correcti</w:t>
      </w:r>
      <w:r w:rsidR="00CC1A15">
        <w:t>ve action</w:t>
      </w:r>
      <w:r w:rsidR="000C4573" w:rsidRPr="000C4573" w:rsidDel="00774AB8">
        <w:t xml:space="preserve"> program</w:t>
      </w:r>
      <w:r w:rsidR="00C10E6C" w:rsidDel="00774AB8">
        <w:t>, such as</w:t>
      </w:r>
      <w:r w:rsidR="000C4573" w:rsidRPr="000C4573" w:rsidDel="00774AB8">
        <w:t xml:space="preserve"> any initial, interim</w:t>
      </w:r>
      <w:r w:rsidR="00D868B8">
        <w:t>,</w:t>
      </w:r>
      <w:r w:rsidR="000C4573" w:rsidRPr="000C4573" w:rsidDel="00774AB8">
        <w:t xml:space="preserve"> and final actions.</w:t>
      </w:r>
      <w:r w:rsidR="00E442E7">
        <w:t xml:space="preserve"> </w:t>
      </w:r>
      <w:r w:rsidR="000C4573" w:rsidRPr="000C4573">
        <w:t>The objective is to keep the risks below the applicable guidelines until the product is brought back to the level of safety intended by the product’s original basis of certification.</w:t>
      </w:r>
    </w:p>
    <w:p w14:paraId="6FED3A42" w14:textId="77777777" w:rsidR="0005695A" w:rsidRPr="00AC5E4A" w:rsidRDefault="0005695A" w:rsidP="0099285B">
      <w:pPr>
        <w:pStyle w:val="Heading1"/>
      </w:pPr>
      <w:r w:rsidRPr="00AC5E4A">
        <w:t>ASSESSMENT MODEL CONSIDERATIONS.</w:t>
      </w:r>
    </w:p>
    <w:p w14:paraId="7AE0E2B2" w14:textId="27F0B78F" w:rsidR="0005695A" w:rsidRDefault="0005695A" w:rsidP="0005695A">
      <w:pPr>
        <w:pStyle w:val="Levels1-3-OneParagraphUnderHeading"/>
      </w:pPr>
      <w:r>
        <w:t xml:space="preserve">As mentioned above, quantitative assessments of potential unsafe conditions are </w:t>
      </w:r>
      <w:r w:rsidR="004F240D">
        <w:t>the preferred method</w:t>
      </w:r>
      <w:r>
        <w:t xml:space="preserve"> since they provide measurements that enhance the oversight and viability of p</w:t>
      </w:r>
      <w:r w:rsidR="00B96F33">
        <w:t>otential</w:t>
      </w:r>
      <w:r>
        <w:t xml:space="preserve"> corrective actions and prioritization.</w:t>
      </w:r>
      <w:r w:rsidR="00E442E7">
        <w:t xml:space="preserve"> </w:t>
      </w:r>
      <w:r>
        <w:t>Often, the need to reduce the risk of an unsafe condition may not be supported by an adequate quantitative assessment.</w:t>
      </w:r>
      <w:r w:rsidR="00E442E7">
        <w:t xml:space="preserve"> </w:t>
      </w:r>
      <w:r>
        <w:t>However, manufacturers should be able to acquire or develop data by experience, test, and analysis as needed for quantitative assessments.</w:t>
      </w:r>
      <w:r w:rsidR="00E442E7">
        <w:t xml:space="preserve"> </w:t>
      </w:r>
      <w:r w:rsidR="006E0E5F">
        <w:t>T</w:t>
      </w:r>
      <w:r w:rsidR="006E0E5F" w:rsidRPr="006E0E5F">
        <w:t>he stakeholders can use these assessments</w:t>
      </w:r>
      <w:r w:rsidR="0015378E">
        <w:t xml:space="preserve"> </w:t>
      </w:r>
      <w:r>
        <w:t xml:space="preserve">to judge the adequacy of </w:t>
      </w:r>
      <w:r w:rsidRPr="001530A9">
        <w:t>control programs</w:t>
      </w:r>
      <w:r>
        <w:t xml:space="preserve"> and validate that immediate or initial corrective actions provide sufficient risk reduction.</w:t>
      </w:r>
      <w:r w:rsidR="00E442E7">
        <w:t xml:space="preserve"> </w:t>
      </w:r>
      <w:r>
        <w:t>Quantitative assessments, therefore, should be a goal for assessing any potential unsafe condition.</w:t>
      </w:r>
      <w:r w:rsidR="00E442E7">
        <w:t xml:space="preserve"> </w:t>
      </w:r>
      <w:r>
        <w:t>A structured approach in performing quantitative assessments is essential for ensuring credible results.</w:t>
      </w:r>
      <w:r w:rsidR="00E442E7">
        <w:t xml:space="preserve"> </w:t>
      </w:r>
      <w:r>
        <w:t>Important controls include</w:t>
      </w:r>
      <w:r w:rsidR="00F5655F">
        <w:t xml:space="preserve"> anchoring the model to known facts, reviewing the input data, assumptions and judgment, cal</w:t>
      </w:r>
      <w:r w:rsidR="00CC1A15">
        <w:t>ibrating</w:t>
      </w:r>
      <w:r w:rsidR="00F5655F">
        <w:t xml:space="preserve"> the model to actual experience, reviewing all critical elements, establishing a consistent set of ground rules, and utilizing engineering judgment.</w:t>
      </w:r>
    </w:p>
    <w:p w14:paraId="2065B616" w14:textId="30537F0B" w:rsidR="0095104D" w:rsidRPr="00A13BAF" w:rsidRDefault="0095104D" w:rsidP="0095104D">
      <w:pPr>
        <w:pStyle w:val="Levels1-3-Note"/>
      </w:pPr>
      <w:r w:rsidRPr="00A13BAF">
        <w:t xml:space="preserve">The </w:t>
      </w:r>
      <w:r w:rsidR="00BC1820">
        <w:t xml:space="preserve">utilized </w:t>
      </w:r>
      <w:r w:rsidRPr="00A13BAF">
        <w:t xml:space="preserve">safety and risk assessment methods are different </w:t>
      </w:r>
      <w:r w:rsidR="002075E5">
        <w:t xml:space="preserve">for </w:t>
      </w:r>
      <w:r w:rsidRPr="00A13BAF">
        <w:t>certification and continued airworthiness.</w:t>
      </w:r>
      <w:r w:rsidR="00E442E7">
        <w:t xml:space="preserve"> </w:t>
      </w:r>
      <w:r w:rsidRPr="00A13BAF">
        <w:t>Consequently, to avoid confusion, this AC does not focus on certification classifications</w:t>
      </w:r>
      <w:r>
        <w:t xml:space="preserve"> and should not be used to support product certification</w:t>
      </w:r>
      <w:r w:rsidRPr="00A13BAF">
        <w:t>.</w:t>
      </w:r>
    </w:p>
    <w:p w14:paraId="7907215C" w14:textId="77777777" w:rsidR="0005695A" w:rsidRPr="0099285B" w:rsidRDefault="0005695A" w:rsidP="00AC5E4A">
      <w:pPr>
        <w:pStyle w:val="Heading2"/>
        <w:rPr>
          <w:rStyle w:val="Lead-in-Bold"/>
        </w:rPr>
      </w:pPr>
      <w:r w:rsidRPr="00AC5E4A">
        <w:rPr>
          <w:rStyle w:val="Lead-in-Bold"/>
        </w:rPr>
        <w:t>Anchoring Model to Known Facts</w:t>
      </w:r>
      <w:r w:rsidRPr="0099285B">
        <w:rPr>
          <w:rStyle w:val="Lead-in-Bold"/>
        </w:rPr>
        <w:t>.</w:t>
      </w:r>
    </w:p>
    <w:p w14:paraId="2197CF8B" w14:textId="4E996609" w:rsidR="0005695A" w:rsidRPr="0005695A" w:rsidRDefault="0005695A" w:rsidP="0005695A">
      <w:pPr>
        <w:pStyle w:val="Levels1-3-OneParagraphUnderHeading"/>
      </w:pPr>
      <w:r w:rsidRPr="0005695A">
        <w:t xml:space="preserve">There will be </w:t>
      </w:r>
      <w:r w:rsidR="00D868B8">
        <w:t>many</w:t>
      </w:r>
      <w:r w:rsidRPr="0005695A">
        <w:t xml:space="preserve"> irrefutable facts within a problem. </w:t>
      </w:r>
      <w:r w:rsidR="00260C0A">
        <w:t>A problem can refer to an abnormality that might lead to an unsafe condition.</w:t>
      </w:r>
      <w:r w:rsidRPr="0005695A">
        <w:t xml:space="preserve"> For instance, these facts may include the number of parts failed</w:t>
      </w:r>
      <w:r w:rsidR="00B444B3">
        <w:t xml:space="preserve">, </w:t>
      </w:r>
      <w:r w:rsidRPr="0005695A">
        <w:t>found cracked</w:t>
      </w:r>
      <w:r w:rsidR="00B444B3">
        <w:t>,</w:t>
      </w:r>
      <w:r w:rsidRPr="0005695A">
        <w:t xml:space="preserve"> and not cracked.</w:t>
      </w:r>
      <w:r w:rsidR="00E442E7">
        <w:t xml:space="preserve"> </w:t>
      </w:r>
      <w:r w:rsidRPr="0005695A">
        <w:t xml:space="preserve">The </w:t>
      </w:r>
      <w:r w:rsidR="00B96F33">
        <w:t xml:space="preserve">assessment </w:t>
      </w:r>
      <w:r w:rsidRPr="0005695A">
        <w:t>model should not contradict any known information.</w:t>
      </w:r>
    </w:p>
    <w:p w14:paraId="5801CA8E" w14:textId="77777777" w:rsidR="0005695A" w:rsidRDefault="0005695A" w:rsidP="00A13BAF">
      <w:pPr>
        <w:pStyle w:val="Heading2"/>
      </w:pPr>
      <w:r>
        <w:rPr>
          <w:rStyle w:val="Lead-in-Bold"/>
        </w:rPr>
        <w:lastRenderedPageBreak/>
        <w:t>Reviewing Input Data, Assumptions, and J</w:t>
      </w:r>
      <w:r w:rsidRPr="0005695A">
        <w:rPr>
          <w:rStyle w:val="Lead-in-Bold"/>
        </w:rPr>
        <w:t>udgment.</w:t>
      </w:r>
    </w:p>
    <w:p w14:paraId="57C4993A" w14:textId="29B5F764" w:rsidR="00632D61" w:rsidRDefault="00BE333A" w:rsidP="002755B3">
      <w:pPr>
        <w:pStyle w:val="Levels1-3-OneParagraphUnderHeading"/>
      </w:pPr>
      <w:r>
        <w:t>All c</w:t>
      </w:r>
      <w:r w:rsidR="0005695A" w:rsidRPr="0005695A">
        <w:t xml:space="preserve">ritical </w:t>
      </w:r>
      <w:r>
        <w:t xml:space="preserve">elements, </w:t>
      </w:r>
      <w:r w:rsidR="0005695A" w:rsidRPr="0005695A">
        <w:t>input data, assumptions, and judgment require careful review and validation.</w:t>
      </w:r>
      <w:r w:rsidR="00E442E7">
        <w:t xml:space="preserve"> </w:t>
      </w:r>
      <w:r w:rsidR="0005695A" w:rsidRPr="0005695A">
        <w:t>A</w:t>
      </w:r>
      <w:r w:rsidR="00993AA9">
        <w:t xml:space="preserve"> safety</w:t>
      </w:r>
      <w:r w:rsidR="0005695A" w:rsidRPr="0005695A">
        <w:t xml:space="preserve"> </w:t>
      </w:r>
      <w:r w:rsidR="0005695A" w:rsidRPr="002075E5">
        <w:t>team approach</w:t>
      </w:r>
      <w:r w:rsidR="0005695A" w:rsidRPr="0005695A">
        <w:t xml:space="preserve"> in reviewing </w:t>
      </w:r>
      <w:r w:rsidR="00260C0A">
        <w:t xml:space="preserve">all </w:t>
      </w:r>
      <w:r w:rsidR="001530A9">
        <w:t>critical</w:t>
      </w:r>
      <w:r w:rsidR="00260C0A">
        <w:t xml:space="preserve"> elements,</w:t>
      </w:r>
      <w:r w:rsidR="001530A9">
        <w:t xml:space="preserve"> </w:t>
      </w:r>
      <w:r w:rsidR="0005695A" w:rsidRPr="0005695A">
        <w:t>input data, assumptions</w:t>
      </w:r>
      <w:r w:rsidR="00DE2592">
        <w:t>,</w:t>
      </w:r>
      <w:r w:rsidR="0005695A" w:rsidRPr="0005695A">
        <w:t xml:space="preserve"> and judgment is most effective.</w:t>
      </w:r>
      <w:r w:rsidR="00E442E7">
        <w:t xml:space="preserve"> </w:t>
      </w:r>
      <w:r w:rsidR="0005695A" w:rsidRPr="0005695A">
        <w:t>The</w:t>
      </w:r>
      <w:r w:rsidR="00993AA9">
        <w:t xml:space="preserve"> safety</w:t>
      </w:r>
      <w:r w:rsidR="0005695A" w:rsidRPr="0005695A">
        <w:t xml:space="preserve"> team should consist of experts from appropriate disciplines</w:t>
      </w:r>
      <w:r w:rsidR="00DE2592">
        <w:t>, such as</w:t>
      </w:r>
      <w:r w:rsidR="0005695A" w:rsidRPr="0005695A">
        <w:t xml:space="preserve"> stress analysis, fracture mechanics, reliability engineering, airworthiness, product support, inspection methods, etc.</w:t>
      </w:r>
      <w:r w:rsidR="00E442E7">
        <w:t xml:space="preserve"> </w:t>
      </w:r>
      <w:r w:rsidR="0005695A" w:rsidRPr="0005695A">
        <w:t>Agreement by consensus on critical assessment model inputs is essential, including validation of operational data by operators.</w:t>
      </w:r>
      <w:r w:rsidR="00E442E7">
        <w:t xml:space="preserve"> </w:t>
      </w:r>
      <w:r w:rsidR="0005695A" w:rsidRPr="0005695A">
        <w:t xml:space="preserve">Some examples of critical inputs include hazard ratio, inspection reliabilities, crack initiation and propagation </w:t>
      </w:r>
      <w:proofErr w:type="gramStart"/>
      <w:r w:rsidR="0005695A" w:rsidRPr="0005695A">
        <w:t>lives</w:t>
      </w:r>
      <w:proofErr w:type="gramEnd"/>
      <w:r w:rsidR="0005695A" w:rsidRPr="0005695A">
        <w:t>, failure distributions, part utilization, affected population definition, shop visit rates, material defect distributions</w:t>
      </w:r>
      <w:r w:rsidR="00DE2592">
        <w:t>,</w:t>
      </w:r>
      <w:r w:rsidR="0005695A" w:rsidRPr="0005695A">
        <w:t xml:space="preserve"> and rate of incorporating corrective actions.</w:t>
      </w:r>
      <w:r w:rsidR="00E442E7">
        <w:t xml:space="preserve"> </w:t>
      </w:r>
      <w:r w:rsidR="0006323D">
        <w:t>For example, r</w:t>
      </w:r>
      <w:r w:rsidR="0005695A" w:rsidRPr="0005695A">
        <w:t>ealistic assessments of hazard ratio will often necessitate the involvement of the installer.</w:t>
      </w:r>
      <w:r w:rsidR="00E442E7">
        <w:t xml:space="preserve"> </w:t>
      </w:r>
      <w:r w:rsidR="0005695A" w:rsidRPr="0005695A">
        <w:t xml:space="preserve">The assessment should also consider the possibility of individual airplanes operating in a </w:t>
      </w:r>
      <w:r w:rsidR="00C267F7">
        <w:t>master minimum equipment list (</w:t>
      </w:r>
      <w:r w:rsidR="0005695A" w:rsidRPr="0005695A">
        <w:t>MMEL</w:t>
      </w:r>
      <w:r w:rsidR="00C267F7">
        <w:t>)</w:t>
      </w:r>
      <w:r w:rsidR="0005695A" w:rsidRPr="0005695A">
        <w:t xml:space="preserve"> or other configuration that </w:t>
      </w:r>
      <w:r w:rsidR="001530A9">
        <w:t>c</w:t>
      </w:r>
      <w:r w:rsidR="0005695A" w:rsidRPr="0005695A">
        <w:t>ould adversely affect the risk associated with the unsafe condition</w:t>
      </w:r>
      <w:r w:rsidR="00DE2592">
        <w:t>.</w:t>
      </w:r>
      <w:r w:rsidR="00E442E7">
        <w:t xml:space="preserve"> </w:t>
      </w:r>
      <w:r w:rsidR="00DE2592">
        <w:t>A</w:t>
      </w:r>
      <w:r w:rsidR="0005695A" w:rsidRPr="0005695A">
        <w:t>lthough</w:t>
      </w:r>
      <w:r w:rsidR="00DE2592">
        <w:t>,</w:t>
      </w:r>
      <w:r w:rsidR="0005695A" w:rsidRPr="0005695A">
        <w:t xml:space="preserve"> it is neither necessary nor appropriate to assume that the entire fleet is operating in such a configuration.</w:t>
      </w:r>
      <w:r w:rsidR="00E442E7">
        <w:t xml:space="preserve"> </w:t>
      </w:r>
      <w:r w:rsidR="0005695A" w:rsidRPr="0005695A">
        <w:t xml:space="preserve">Consideration </w:t>
      </w:r>
      <w:r w:rsidR="0005695A" w:rsidRPr="00B2233E">
        <w:t>should be made</w:t>
      </w:r>
      <w:r w:rsidR="0005695A" w:rsidRPr="0005695A">
        <w:t xml:space="preserve"> as to whether it is appropriate to allow continued dispatch in all </w:t>
      </w:r>
      <w:r w:rsidR="00DE2592" w:rsidRPr="0005695A">
        <w:t>previously acceptable</w:t>
      </w:r>
      <w:r w:rsidR="0005695A" w:rsidRPr="0005695A">
        <w:t xml:space="preserve"> configurations or missions.</w:t>
      </w:r>
    </w:p>
    <w:p w14:paraId="2C3738A3" w14:textId="7BDDE87C" w:rsidR="002755B3" w:rsidRDefault="00637F7C" w:rsidP="00081836">
      <w:pPr>
        <w:pStyle w:val="Levels1-3-Note"/>
      </w:pPr>
      <w:r w:rsidRPr="00081836">
        <w:t>T</w:t>
      </w:r>
      <w:r w:rsidR="002755B3" w:rsidRPr="00E60066">
        <w:t xml:space="preserve">he risk </w:t>
      </w:r>
      <w:r w:rsidR="00993AA9">
        <w:t>assessment</w:t>
      </w:r>
      <w:r w:rsidR="00993AA9" w:rsidRPr="00E60066">
        <w:t xml:space="preserve"> </w:t>
      </w:r>
      <w:r w:rsidR="00F1266E">
        <w:t>should</w:t>
      </w:r>
      <w:r w:rsidR="00F1266E" w:rsidRPr="00E60066">
        <w:t xml:space="preserve"> </w:t>
      </w:r>
      <w:r w:rsidR="002755B3" w:rsidRPr="00E60066">
        <w:t>be conducted objectively.</w:t>
      </w:r>
      <w:r w:rsidR="00E442E7">
        <w:t xml:space="preserve"> </w:t>
      </w:r>
      <w:r w:rsidR="002755B3" w:rsidRPr="00E60066">
        <w:t xml:space="preserve">This evaluation includes the severity and the conditional probability of </w:t>
      </w:r>
      <w:r w:rsidR="00632D61">
        <w:t>an</w:t>
      </w:r>
      <w:r w:rsidR="00632D61" w:rsidRPr="00E60066">
        <w:t xml:space="preserve"> </w:t>
      </w:r>
      <w:r w:rsidR="002755B3" w:rsidRPr="00E60066">
        <w:t xml:space="preserve">outcome given </w:t>
      </w:r>
      <w:r w:rsidR="00632D61">
        <w:t>a</w:t>
      </w:r>
      <w:r w:rsidR="00632D61" w:rsidRPr="00E60066">
        <w:t xml:space="preserve"> </w:t>
      </w:r>
      <w:r w:rsidR="002755B3" w:rsidRPr="00E60066">
        <w:t>failure condition.</w:t>
      </w:r>
      <w:r w:rsidR="00E442E7">
        <w:t xml:space="preserve"> </w:t>
      </w:r>
      <w:r w:rsidR="00122561">
        <w:t>For example, w</w:t>
      </w:r>
      <w:r w:rsidR="002755B3" w:rsidRPr="00E60066">
        <w:t>hether one starts with the assessment that disk bursts are catastrophic or observes that there has been a</w:t>
      </w:r>
      <w:r w:rsidR="00A63B2D">
        <w:t>n</w:t>
      </w:r>
      <w:r w:rsidR="002755B3" w:rsidRPr="00E60066">
        <w:t xml:space="preserve"> </w:t>
      </w:r>
      <w:r w:rsidR="00E162F8">
        <w:t>HL</w:t>
      </w:r>
      <w:r w:rsidR="002755B3" w:rsidRPr="00E60066">
        <w:t xml:space="preserve"> 3 disk burst in service</w:t>
      </w:r>
      <w:r w:rsidR="00632D61">
        <w:t>,</w:t>
      </w:r>
      <w:r w:rsidR="002755B3" w:rsidRPr="00E60066">
        <w:t xml:space="preserve"> </w:t>
      </w:r>
      <w:r w:rsidR="00632D61">
        <w:t>t</w:t>
      </w:r>
      <w:r w:rsidR="002755B3" w:rsidRPr="00E60066">
        <w:t>he risk assessment for a given outcome should be equivalent</w:t>
      </w:r>
      <w:r w:rsidR="002755B3" w:rsidRPr="000C4573">
        <w:t>.</w:t>
      </w:r>
    </w:p>
    <w:p w14:paraId="5D8494A3" w14:textId="77777777" w:rsidR="0005695A" w:rsidRPr="0005695A" w:rsidRDefault="0005695A" w:rsidP="0005695A">
      <w:pPr>
        <w:pStyle w:val="Heading2"/>
        <w:rPr>
          <w:rStyle w:val="Lead-in-Bold"/>
          <w:b w:val="0"/>
          <w:szCs w:val="24"/>
        </w:rPr>
      </w:pPr>
      <w:r>
        <w:rPr>
          <w:rStyle w:val="Lead-in-Bold"/>
        </w:rPr>
        <w:t>Calibrating Model to Actual E</w:t>
      </w:r>
      <w:r w:rsidRPr="0005695A">
        <w:rPr>
          <w:rStyle w:val="Lead-in-Bold"/>
        </w:rPr>
        <w:t>xperience.</w:t>
      </w:r>
    </w:p>
    <w:p w14:paraId="42471FBC" w14:textId="0E3D86E4" w:rsidR="00DB248F" w:rsidRDefault="0005695A" w:rsidP="0005695A">
      <w:pPr>
        <w:pStyle w:val="Levels1-3-OneParagraphUnderHeading"/>
      </w:pPr>
      <w:r w:rsidRPr="0005695A">
        <w:t>It is essential that the model be capable of calibration to what has already happened.</w:t>
      </w:r>
      <w:r w:rsidR="00E442E7">
        <w:t xml:space="preserve"> </w:t>
      </w:r>
      <w:r w:rsidRPr="0005695A">
        <w:t xml:space="preserve">If the model does not calibrate, further </w:t>
      </w:r>
      <w:r w:rsidRPr="002075E5">
        <w:t>team review</w:t>
      </w:r>
      <w:r w:rsidRPr="0005695A">
        <w:t xml:space="preserve"> </w:t>
      </w:r>
      <w:r w:rsidR="000D4E67">
        <w:t xml:space="preserve">by the stakeholders </w:t>
      </w:r>
      <w:r w:rsidR="00122561">
        <w:t xml:space="preserve">is necessary </w:t>
      </w:r>
      <w:r w:rsidRPr="0005695A">
        <w:t>to determine which model assumptions may be in error.</w:t>
      </w:r>
      <w:r w:rsidR="00E442E7">
        <w:t xml:space="preserve"> </w:t>
      </w:r>
      <w:r w:rsidRPr="0005695A">
        <w:t>The model will not predict reliably if it cannot calibrate to the actual experience.</w:t>
      </w:r>
    </w:p>
    <w:p w14:paraId="3D994610" w14:textId="77777777" w:rsidR="0005695A" w:rsidRDefault="0005695A" w:rsidP="0005695A">
      <w:pPr>
        <w:pStyle w:val="Heading2"/>
      </w:pPr>
      <w:r>
        <w:rPr>
          <w:rStyle w:val="Lead-in-Bold"/>
        </w:rPr>
        <w:t>Review</w:t>
      </w:r>
      <w:r w:rsidR="00F5655F">
        <w:rPr>
          <w:rStyle w:val="Lead-in-Bold"/>
        </w:rPr>
        <w:t>ing all Critical Elements</w:t>
      </w:r>
      <w:r w:rsidRPr="0005695A">
        <w:rPr>
          <w:rStyle w:val="Lead-in-Bold"/>
        </w:rPr>
        <w:t>.</w:t>
      </w:r>
    </w:p>
    <w:p w14:paraId="3C21BAB1" w14:textId="00A320F2" w:rsidR="00637F7C" w:rsidRPr="00116F90" w:rsidRDefault="00DA1645" w:rsidP="00116F90">
      <w:pPr>
        <w:pStyle w:val="Levels1-3-OneParagraphUnderHeading"/>
      </w:pPr>
      <w:r>
        <w:t xml:space="preserve">Subject to ex </w:t>
      </w:r>
      <w:proofErr w:type="spellStart"/>
      <w:r>
        <w:t>parte</w:t>
      </w:r>
      <w:proofErr w:type="spellEnd"/>
      <w:r>
        <w:t xml:space="preserve"> restrictions, i</w:t>
      </w:r>
      <w:r w:rsidR="0005695A" w:rsidRPr="0005695A">
        <w:t>t is important that all critical elements</w:t>
      </w:r>
      <w:r w:rsidR="00DE2592">
        <w:t>,</w:t>
      </w:r>
      <w:r w:rsidR="0005695A" w:rsidRPr="0005695A">
        <w:t xml:space="preserve"> input data, assumptions, judgment, etc.</w:t>
      </w:r>
      <w:r w:rsidR="00DE2592">
        <w:t>,</w:t>
      </w:r>
      <w:r w:rsidR="0005695A" w:rsidRPr="0005695A">
        <w:t xml:space="preserve"> of the model be made available to </w:t>
      </w:r>
      <w:r w:rsidR="00993AA9">
        <w:t xml:space="preserve">the </w:t>
      </w:r>
      <w:r w:rsidR="0005695A" w:rsidRPr="0005695A">
        <w:t>affected parties</w:t>
      </w:r>
      <w:r w:rsidR="00993AA9">
        <w:t xml:space="preserve"> with data accessibility privileges</w:t>
      </w:r>
      <w:r w:rsidR="0005695A" w:rsidRPr="0005695A">
        <w:t xml:space="preserve"> for detailed review.</w:t>
      </w:r>
      <w:r w:rsidR="00E442E7">
        <w:t xml:space="preserve"> </w:t>
      </w:r>
      <w:r w:rsidR="0005695A" w:rsidRPr="0005695A">
        <w:t xml:space="preserve">Review by </w:t>
      </w:r>
      <w:r w:rsidR="002075E5" w:rsidRPr="0005695A">
        <w:t xml:space="preserve">the </w:t>
      </w:r>
      <w:r w:rsidR="002075E5">
        <w:t>responsible</w:t>
      </w:r>
      <w:r w:rsidR="00D5002E">
        <w:t xml:space="preserve"> </w:t>
      </w:r>
      <w:r w:rsidR="00C639EC">
        <w:t>FAA</w:t>
      </w:r>
      <w:r w:rsidR="00D5002E">
        <w:t xml:space="preserve"> engineers</w:t>
      </w:r>
      <w:r w:rsidR="00DE2592">
        <w:t xml:space="preserve"> </w:t>
      </w:r>
      <w:r w:rsidR="0005695A" w:rsidRPr="0005695A">
        <w:t>is essential for ensuring regulatory</w:t>
      </w:r>
      <w:r w:rsidR="00C639EC">
        <w:t xml:space="preserve"> safety</w:t>
      </w:r>
      <w:r w:rsidR="0005695A" w:rsidRPr="0005695A">
        <w:t xml:space="preserve"> goals are met</w:t>
      </w:r>
      <w:r w:rsidR="00DE2592" w:rsidRPr="00116F90">
        <w:t>.</w:t>
      </w:r>
      <w:r w:rsidRPr="00116F90">
        <w:t xml:space="preserve"> Information, such as current service experience, from </w:t>
      </w:r>
      <w:r w:rsidR="0005695A" w:rsidRPr="00116F90">
        <w:t>operators</w:t>
      </w:r>
      <w:r w:rsidRPr="00116F90">
        <w:t>, installers,</w:t>
      </w:r>
      <w:r w:rsidR="00C937FD" w:rsidRPr="00116F90">
        <w:t xml:space="preserve"> and </w:t>
      </w:r>
      <w:r w:rsidR="00122561" w:rsidRPr="00116F90">
        <w:t xml:space="preserve">the </w:t>
      </w:r>
      <w:r w:rsidR="00D5002E" w:rsidRPr="00116F90">
        <w:t xml:space="preserve">involved </w:t>
      </w:r>
      <w:r w:rsidR="00C937FD" w:rsidRPr="00116F90">
        <w:t>FAA</w:t>
      </w:r>
      <w:r w:rsidR="00D5002E" w:rsidRPr="00116F90">
        <w:t xml:space="preserve"> inspectors</w:t>
      </w:r>
      <w:r w:rsidR="00C937FD" w:rsidRPr="00116F90">
        <w:t xml:space="preserve"> </w:t>
      </w:r>
      <w:r w:rsidR="0005695A" w:rsidRPr="00116F90">
        <w:t xml:space="preserve">is </w:t>
      </w:r>
      <w:r w:rsidRPr="00116F90">
        <w:t>important</w:t>
      </w:r>
      <w:r w:rsidR="0005695A" w:rsidRPr="00116F90">
        <w:t xml:space="preserve"> for ensuring accurate data and viable corrective actions.</w:t>
      </w:r>
    </w:p>
    <w:p w14:paraId="7503DAD6" w14:textId="77777777" w:rsidR="0005695A" w:rsidRPr="0099285B" w:rsidRDefault="0005695A" w:rsidP="00AC5E4A">
      <w:pPr>
        <w:pStyle w:val="Heading2"/>
        <w:rPr>
          <w:rStyle w:val="Lead-in-Bold"/>
        </w:rPr>
      </w:pPr>
      <w:r w:rsidRPr="00AC5E4A">
        <w:rPr>
          <w:rStyle w:val="Lead-in-Bold"/>
        </w:rPr>
        <w:t>Establishing a Consistent Set</w:t>
      </w:r>
      <w:r w:rsidRPr="0099285B">
        <w:rPr>
          <w:rStyle w:val="Lead-in-Bold"/>
        </w:rPr>
        <w:t xml:space="preserve"> of Ground Rules.</w:t>
      </w:r>
    </w:p>
    <w:p w14:paraId="2FEF28F9" w14:textId="00458F7B" w:rsidR="00762534" w:rsidRDefault="0005695A" w:rsidP="0005695A">
      <w:pPr>
        <w:pStyle w:val="Levels1-3-OneParagraphUnderHeading"/>
      </w:pPr>
      <w:r w:rsidRPr="0005695A">
        <w:t>A consistent set of ground rules for constructing numerical assessments is necessary to ensure valid comparisons.</w:t>
      </w:r>
      <w:r w:rsidR="00E442E7">
        <w:t xml:space="preserve"> </w:t>
      </w:r>
      <w:r w:rsidRPr="0005695A">
        <w:t>Examples of areas where consistent ground rules are necessary include the determination of flight exposures</w:t>
      </w:r>
      <w:r w:rsidR="001942A9">
        <w:t xml:space="preserve">, </w:t>
      </w:r>
      <w:r w:rsidRPr="0005695A">
        <w:t xml:space="preserve">event </w:t>
      </w:r>
      <w:r w:rsidR="00E162F8">
        <w:t>HL</w:t>
      </w:r>
      <w:r w:rsidRPr="0005695A">
        <w:t>s, hazard ratios</w:t>
      </w:r>
      <w:r w:rsidR="005876A5">
        <w:t>,</w:t>
      </w:r>
      <w:r w:rsidRPr="0005695A">
        <w:t xml:space="preserve"> and event probability for each flight.</w:t>
      </w:r>
      <w:r w:rsidR="00E442E7">
        <w:t xml:space="preserve"> </w:t>
      </w:r>
      <w:r w:rsidRPr="0005695A">
        <w:t>There may be subtle yet significant differences in the ground rules used by different manufacturers in performing quantitative assessments.</w:t>
      </w:r>
      <w:r w:rsidR="00E442E7">
        <w:t xml:space="preserve"> </w:t>
      </w:r>
      <w:r w:rsidRPr="0005695A">
        <w:t>Therefore, it is important to refrain from comparing assessment results from different manufacturers</w:t>
      </w:r>
      <w:r w:rsidR="00275969">
        <w:t>,</w:t>
      </w:r>
      <w:r w:rsidRPr="0005695A">
        <w:t xml:space="preserve"> unless it can be verified that the assessments were performed using the </w:t>
      </w:r>
      <w:r w:rsidRPr="0005695A">
        <w:lastRenderedPageBreak/>
        <w:t>same ground rules.</w:t>
      </w:r>
      <w:r w:rsidR="00E442E7">
        <w:t xml:space="preserve"> </w:t>
      </w:r>
      <w:r w:rsidRPr="0005695A">
        <w:t>The desire to have a consistent set of ground rules for comparative purposes factors into the recommended use of a 20-year fleet exposure for uncorrected risk</w:t>
      </w:r>
      <w:r w:rsidR="00B2790D">
        <w:t>.</w:t>
      </w:r>
      <w:r w:rsidR="00E442E7">
        <w:t xml:space="preserve"> </w:t>
      </w:r>
      <w:r w:rsidR="00B2790D">
        <w:t>It also factors into</w:t>
      </w:r>
      <w:r w:rsidRPr="0005695A">
        <w:t xml:space="preserve"> the use of hazard ratios to predict the risk of events of equivalent severity</w:t>
      </w:r>
      <w:r w:rsidR="001942A9">
        <w:t>, such as</w:t>
      </w:r>
      <w:r w:rsidRPr="0005695A">
        <w:t xml:space="preserve"> </w:t>
      </w:r>
      <w:r w:rsidR="00E162F8">
        <w:t>HL</w:t>
      </w:r>
      <w:r w:rsidRPr="0005695A">
        <w:t>s 3, 4 or 5.</w:t>
      </w:r>
    </w:p>
    <w:p w14:paraId="05039B39" w14:textId="77777777" w:rsidR="0005695A" w:rsidRDefault="00F5655F" w:rsidP="0005695A">
      <w:pPr>
        <w:pStyle w:val="Heading2"/>
      </w:pPr>
      <w:r>
        <w:rPr>
          <w:rStyle w:val="Lead-in-Bold"/>
        </w:rPr>
        <w:t xml:space="preserve">Utilizing </w:t>
      </w:r>
      <w:r w:rsidR="0005695A">
        <w:rPr>
          <w:rStyle w:val="Lead-in-Bold"/>
        </w:rPr>
        <w:t>Engineering J</w:t>
      </w:r>
      <w:r w:rsidR="0005695A" w:rsidRPr="0005695A">
        <w:rPr>
          <w:rStyle w:val="Lead-in-Bold"/>
        </w:rPr>
        <w:t>udgment.</w:t>
      </w:r>
    </w:p>
    <w:p w14:paraId="7666871C" w14:textId="47957953" w:rsidR="0099285B" w:rsidRDefault="0005695A" w:rsidP="007F7B7C">
      <w:pPr>
        <w:pStyle w:val="Levels1-3-OneParagraphUnderHeading"/>
      </w:pPr>
      <w:r w:rsidRPr="0005695A">
        <w:t xml:space="preserve">Regardless of how </w:t>
      </w:r>
      <w:r w:rsidR="00F3254A" w:rsidRPr="0005695A">
        <w:t>m</w:t>
      </w:r>
      <w:r w:rsidR="00F3254A">
        <w:t>uch</w:t>
      </w:r>
      <w:r w:rsidR="00F3254A" w:rsidRPr="0005695A">
        <w:t xml:space="preserve"> </w:t>
      </w:r>
      <w:r w:rsidRPr="0005695A">
        <w:t xml:space="preserve">engineering data </w:t>
      </w:r>
      <w:r w:rsidR="00F3254A">
        <w:t>is</w:t>
      </w:r>
      <w:r w:rsidRPr="0005695A">
        <w:t xml:space="preserve"> gathered to </w:t>
      </w:r>
      <w:r w:rsidR="0085188C" w:rsidRPr="0005695A">
        <w:t xml:space="preserve">describe a problem </w:t>
      </w:r>
      <w:r w:rsidRPr="0005695A">
        <w:t>mathematically, engineering judgment will always be necessary.</w:t>
      </w:r>
      <w:r w:rsidR="00E442E7">
        <w:t xml:space="preserve"> </w:t>
      </w:r>
      <w:r w:rsidRPr="0005695A">
        <w:t>Engineering judgment is, however, a potential source of subjectivity that can introduce uncertainty into the assessment.</w:t>
      </w:r>
      <w:r w:rsidR="00E442E7">
        <w:t xml:space="preserve"> </w:t>
      </w:r>
      <w:r w:rsidRPr="0005695A">
        <w:t xml:space="preserve">In assessing the need for action and the adequacy of a </w:t>
      </w:r>
      <w:r w:rsidRPr="009218A6">
        <w:t>control program</w:t>
      </w:r>
      <w:r w:rsidRPr="0005695A">
        <w:t>, it may be helpful to assess the potential variation in the major assumptions.</w:t>
      </w:r>
      <w:r w:rsidR="00E442E7">
        <w:t xml:space="preserve"> </w:t>
      </w:r>
      <w:r w:rsidRPr="0005695A">
        <w:t xml:space="preserve">This </w:t>
      </w:r>
      <w:r w:rsidR="0085188C">
        <w:t xml:space="preserve">variation </w:t>
      </w:r>
      <w:r w:rsidRPr="0005695A">
        <w:t>will result in a range of results.</w:t>
      </w:r>
      <w:r w:rsidR="00E442E7">
        <w:t xml:space="preserve"> </w:t>
      </w:r>
      <w:r w:rsidRPr="0005695A">
        <w:t>Acquiring additional data on model inputs will reduce the uncertainty and, therefore, reduce the range of possible results.</w:t>
      </w:r>
      <w:r w:rsidR="00E442E7">
        <w:t xml:space="preserve"> </w:t>
      </w:r>
      <w:r w:rsidRPr="0005695A">
        <w:t xml:space="preserve">This judgment and any other assumptions in the </w:t>
      </w:r>
      <w:r w:rsidR="00993AA9">
        <w:t>assessment</w:t>
      </w:r>
      <w:r w:rsidR="00993AA9" w:rsidRPr="0005695A">
        <w:t xml:space="preserve"> </w:t>
      </w:r>
      <w:r w:rsidRPr="0005695A">
        <w:t>need to be documented and validated to the greatest extent possible.</w:t>
      </w:r>
      <w:r w:rsidR="00E442E7">
        <w:t xml:space="preserve"> </w:t>
      </w:r>
      <w:r w:rsidR="000B2A48" w:rsidRPr="000B2A48">
        <w:t>The stakeholder should consider the amount of judgment and the level of confidence in the associated validations</w:t>
      </w:r>
      <w:r w:rsidR="002075E5">
        <w:t xml:space="preserve"> </w:t>
      </w:r>
      <w:r w:rsidRPr="0005695A">
        <w:t>when determining the appropriate response to the problem.</w:t>
      </w:r>
    </w:p>
    <w:p w14:paraId="565A4038" w14:textId="77777777" w:rsidR="002B53DA" w:rsidRPr="0099285B" w:rsidRDefault="002B53DA" w:rsidP="0099285B">
      <w:pPr>
        <w:pStyle w:val="Heading1"/>
      </w:pPr>
      <w:r w:rsidRPr="00AC5E4A">
        <w:t xml:space="preserve">RISK </w:t>
      </w:r>
      <w:r w:rsidR="00287C35" w:rsidRPr="00AC5E4A">
        <w:t xml:space="preserve">factor </w:t>
      </w:r>
      <w:r w:rsidRPr="00AC5E4A">
        <w:t>GUIDELINES.</w:t>
      </w:r>
    </w:p>
    <w:p w14:paraId="5F5E98B5" w14:textId="77777777" w:rsidR="006A696F" w:rsidRPr="001D505F" w:rsidRDefault="005464EE" w:rsidP="001D505F">
      <w:pPr>
        <w:pStyle w:val="Heading2"/>
        <w:rPr>
          <w:rStyle w:val="Lead-in-Bold"/>
          <w:b w:val="0"/>
          <w:szCs w:val="24"/>
        </w:rPr>
      </w:pPr>
      <w:r w:rsidRPr="001D505F">
        <w:rPr>
          <w:rStyle w:val="Lead-in-Bold"/>
          <w:b w:val="0"/>
          <w:szCs w:val="24"/>
        </w:rPr>
        <w:t xml:space="preserve">Hazard </w:t>
      </w:r>
      <w:r w:rsidR="006A696F" w:rsidRPr="001D505F">
        <w:rPr>
          <w:rStyle w:val="Lead-in-Bold"/>
          <w:b w:val="0"/>
          <w:szCs w:val="24"/>
        </w:rPr>
        <w:t>Level 3 and Level 4 Risk Guidelines</w:t>
      </w:r>
      <w:r w:rsidR="002B4B21" w:rsidRPr="001D505F">
        <w:rPr>
          <w:rStyle w:val="Lead-in-Bold"/>
          <w:b w:val="0"/>
          <w:szCs w:val="24"/>
        </w:rPr>
        <w:t>.</w:t>
      </w:r>
    </w:p>
    <w:p w14:paraId="4B1534F7" w14:textId="448C3827" w:rsidR="001B51CA" w:rsidRDefault="002B53DA" w:rsidP="002B4B21">
      <w:pPr>
        <w:pStyle w:val="Heading3"/>
      </w:pPr>
      <w:r w:rsidRPr="002B53DA">
        <w:t xml:space="preserve">There are long-term and short-term guidelines for risk factor and risk </w:t>
      </w:r>
      <w:r w:rsidRPr="00E01BC9">
        <w:t>per</w:t>
      </w:r>
      <w:r w:rsidR="009C30D7" w:rsidRPr="00E01BC9">
        <w:t xml:space="preserve"> </w:t>
      </w:r>
      <w:r w:rsidRPr="00E01BC9">
        <w:t>flight</w:t>
      </w:r>
      <w:r w:rsidR="00993AA9">
        <w:t xml:space="preserve"> as listed in </w:t>
      </w:r>
      <w:r w:rsidR="00795DF5">
        <w:t>t</w:t>
      </w:r>
      <w:r w:rsidR="00D53BD5">
        <w:t xml:space="preserve">able </w:t>
      </w:r>
      <w:r w:rsidR="00993AA9">
        <w:t>1 of this AC</w:t>
      </w:r>
      <w:r w:rsidRPr="00E01BC9">
        <w:t>.</w:t>
      </w:r>
      <w:r w:rsidR="00E442E7">
        <w:t xml:space="preserve"> </w:t>
      </w:r>
      <w:r w:rsidR="00230771" w:rsidRPr="002B53DA">
        <w:t xml:space="preserve">The risk factor guidelines apply to the aggregate fleet or </w:t>
      </w:r>
      <w:proofErr w:type="spellStart"/>
      <w:r w:rsidR="00230771" w:rsidRPr="002B53DA">
        <w:t>subfleet</w:t>
      </w:r>
      <w:proofErr w:type="spellEnd"/>
      <w:r w:rsidR="00230771" w:rsidRPr="002B53DA">
        <w:t xml:space="preserve"> suspected of having </w:t>
      </w:r>
      <w:r w:rsidR="0085188C">
        <w:t>an</w:t>
      </w:r>
      <w:r w:rsidR="0085188C" w:rsidRPr="002B53DA">
        <w:t xml:space="preserve"> </w:t>
      </w:r>
      <w:r w:rsidR="00230771" w:rsidRPr="002B53DA">
        <w:t>unsafe condition.</w:t>
      </w:r>
      <w:r w:rsidR="00E442E7">
        <w:t xml:space="preserve"> </w:t>
      </w:r>
      <w:r w:rsidR="00230771" w:rsidRPr="002B53DA">
        <w:t xml:space="preserve">The per-flight guidelines apply to the average of the fleet or </w:t>
      </w:r>
      <w:proofErr w:type="spellStart"/>
      <w:r w:rsidR="00230771" w:rsidRPr="002B53DA">
        <w:t>subfleet</w:t>
      </w:r>
      <w:proofErr w:type="spellEnd"/>
      <w:r w:rsidR="00230771" w:rsidRPr="002B53DA">
        <w:t xml:space="preserve"> suspected o</w:t>
      </w:r>
      <w:r w:rsidR="00230771">
        <w:t xml:space="preserve">f having </w:t>
      </w:r>
      <w:r w:rsidR="0085188C">
        <w:t xml:space="preserve">an </w:t>
      </w:r>
      <w:r w:rsidR="00230771">
        <w:t>unsafe condition.</w:t>
      </w:r>
      <w:r w:rsidR="00E442E7">
        <w:t xml:space="preserve"> </w:t>
      </w:r>
      <w:r w:rsidR="00334BC1">
        <w:t>T</w:t>
      </w:r>
      <w:r w:rsidR="00DD718C" w:rsidRPr="002B53DA">
        <w:t xml:space="preserve">hese </w:t>
      </w:r>
      <w:r w:rsidRPr="002B53DA">
        <w:t xml:space="preserve">guidelines help establish whether immediate action is necessary and establish </w:t>
      </w:r>
      <w:r w:rsidR="0085188C">
        <w:t xml:space="preserve">an </w:t>
      </w:r>
      <w:r w:rsidRPr="002B53DA">
        <w:t>acceptable risk for control programs.</w:t>
      </w:r>
    </w:p>
    <w:p w14:paraId="079DC013" w14:textId="2F552AE7" w:rsidR="00EC5662" w:rsidRDefault="00334BC1" w:rsidP="002D5BEE">
      <w:pPr>
        <w:pStyle w:val="Levels1-3-NumberedNotes"/>
      </w:pPr>
      <w:r w:rsidRPr="002B53DA">
        <w:t xml:space="preserve">There are guidelines for </w:t>
      </w:r>
      <w:r w:rsidR="00E162F8">
        <w:t>HL</w:t>
      </w:r>
      <w:r w:rsidRPr="002B53DA">
        <w:t xml:space="preserve"> 3</w:t>
      </w:r>
      <w:r>
        <w:t xml:space="preserve"> events</w:t>
      </w:r>
      <w:r w:rsidRPr="002B53DA">
        <w:t xml:space="preserve"> and </w:t>
      </w:r>
      <w:r w:rsidR="00E162F8">
        <w:t>HL</w:t>
      </w:r>
      <w:r>
        <w:t xml:space="preserve"> </w:t>
      </w:r>
      <w:r w:rsidRPr="002B53DA">
        <w:t>4</w:t>
      </w:r>
      <w:r>
        <w:t xml:space="preserve"> events</w:t>
      </w:r>
      <w:r w:rsidRPr="002B53DA">
        <w:t>.</w:t>
      </w:r>
      <w:r w:rsidR="00E442E7">
        <w:t xml:space="preserve"> </w:t>
      </w:r>
      <w:r w:rsidR="008D5DCE">
        <w:t xml:space="preserve">The </w:t>
      </w:r>
      <w:r w:rsidR="00E162F8">
        <w:t>HL</w:t>
      </w:r>
      <w:r w:rsidR="002B53DA" w:rsidRPr="002B53DA">
        <w:t xml:space="preserve"> 3 guideline</w:t>
      </w:r>
      <w:r w:rsidR="001E2217">
        <w:t>s</w:t>
      </w:r>
      <w:r w:rsidR="002B53DA" w:rsidRPr="002B53DA">
        <w:t xml:space="preserve"> cover events predicted to be at least</w:t>
      </w:r>
      <w:r w:rsidR="005464EE">
        <w:t xml:space="preserve"> </w:t>
      </w:r>
      <w:r w:rsidR="00E162F8">
        <w:t>HL</w:t>
      </w:r>
      <w:r w:rsidR="002B53DA" w:rsidRPr="002B53DA">
        <w:t xml:space="preserve"> 3</w:t>
      </w:r>
      <w:r w:rsidR="009B69A1">
        <w:t>, such as</w:t>
      </w:r>
      <w:r w:rsidR="002B53DA" w:rsidRPr="002B53DA">
        <w:t xml:space="preserve"> </w:t>
      </w:r>
      <w:r w:rsidR="00F3254A">
        <w:t>l</w:t>
      </w:r>
      <w:r w:rsidR="002B53DA" w:rsidRPr="002B53DA">
        <w:t>evels 3, 4 and</w:t>
      </w:r>
      <w:r w:rsidR="0085188C">
        <w:t>,</w:t>
      </w:r>
      <w:r w:rsidR="002B53DA" w:rsidRPr="002B53DA">
        <w:t xml:space="preserve"> 5 events.</w:t>
      </w:r>
      <w:r w:rsidR="00E442E7">
        <w:t xml:space="preserve"> </w:t>
      </w:r>
      <w:r w:rsidR="00BE3C42">
        <w:t>The</w:t>
      </w:r>
      <w:r w:rsidR="002B53DA" w:rsidRPr="002B53DA">
        <w:t xml:space="preserve"> </w:t>
      </w:r>
      <w:r w:rsidR="00E162F8">
        <w:t>HL</w:t>
      </w:r>
      <w:r w:rsidR="002B53DA" w:rsidRPr="002B53DA">
        <w:t xml:space="preserve"> 4 guideline</w:t>
      </w:r>
      <w:r w:rsidR="001E2217">
        <w:t>s</w:t>
      </w:r>
      <w:r w:rsidR="002B53DA" w:rsidRPr="002B53DA">
        <w:t xml:space="preserve"> cover events predicted to be at least </w:t>
      </w:r>
      <w:r w:rsidR="00E162F8">
        <w:t>HL</w:t>
      </w:r>
      <w:r w:rsidR="008C5F24">
        <w:t xml:space="preserve"> </w:t>
      </w:r>
      <w:r w:rsidR="002B53DA" w:rsidRPr="002B53DA">
        <w:t>4</w:t>
      </w:r>
      <w:r w:rsidR="009B69A1">
        <w:t>, such as</w:t>
      </w:r>
      <w:r w:rsidR="002B53DA" w:rsidRPr="002B53DA">
        <w:t xml:space="preserve"> </w:t>
      </w:r>
      <w:r w:rsidR="00E162F8">
        <w:t>HL</w:t>
      </w:r>
      <w:r w:rsidR="00267F31">
        <w:t>s</w:t>
      </w:r>
      <w:r w:rsidR="002B53DA" w:rsidRPr="002B53DA">
        <w:t xml:space="preserve"> 4 and 5 events.</w:t>
      </w:r>
      <w:r w:rsidR="00E442E7">
        <w:t xml:space="preserve"> </w:t>
      </w:r>
      <w:r w:rsidR="0085188C">
        <w:t>Th</w:t>
      </w:r>
      <w:r w:rsidR="00BE3C42">
        <w:t>is categorization</w:t>
      </w:r>
      <w:r w:rsidR="003E039D">
        <w:t xml:space="preserve"> </w:t>
      </w:r>
      <w:r w:rsidR="002B53DA" w:rsidRPr="002B53DA">
        <w:t>is necessary to assess the true risk exposure.</w:t>
      </w:r>
    </w:p>
    <w:p w14:paraId="49DE524C" w14:textId="6B229290" w:rsidR="00EC5662" w:rsidRPr="00EC5662" w:rsidRDefault="00EC5662" w:rsidP="002D5BEE">
      <w:pPr>
        <w:pStyle w:val="Levels1-3-NumberedNotes"/>
      </w:pPr>
      <w:r w:rsidRPr="00E01BC9">
        <w:t>The per-flight</w:t>
      </w:r>
      <w:r>
        <w:t xml:space="preserve"> guidelines can also be referred to as individual risk</w:t>
      </w:r>
      <w:r w:rsidR="009A3F17">
        <w:t>,</w:t>
      </w:r>
      <w:r w:rsidR="00BF6981">
        <w:t xml:space="preserve"> and</w:t>
      </w:r>
      <w:r>
        <w:t xml:space="preserve"> </w:t>
      </w:r>
      <w:r w:rsidR="00BF6981">
        <w:t>r</w:t>
      </w:r>
      <w:r>
        <w:t xml:space="preserve">isk factor can be referred to as fleet risk (reference </w:t>
      </w:r>
      <w:r w:rsidR="001E2217">
        <w:t xml:space="preserve">FAA </w:t>
      </w:r>
      <w:r>
        <w:t>Order 8110.107).</w:t>
      </w:r>
    </w:p>
    <w:p w14:paraId="71080CB1" w14:textId="78B441DB" w:rsidR="001B51CA" w:rsidRDefault="002B53DA" w:rsidP="00081836">
      <w:pPr>
        <w:pStyle w:val="Heading3"/>
      </w:pPr>
      <w:r w:rsidRPr="001B51CA">
        <w:t>Control</w:t>
      </w:r>
      <w:r w:rsidRPr="00230771">
        <w:t xml:space="preserve"> programs should be acceptable to both</w:t>
      </w:r>
      <w:r w:rsidR="009B69A1" w:rsidRPr="00230771">
        <w:t xml:space="preserve"> </w:t>
      </w:r>
      <w:r w:rsidR="005464EE">
        <w:t xml:space="preserve">the </w:t>
      </w:r>
      <w:r w:rsidR="00E162F8">
        <w:t>HL</w:t>
      </w:r>
      <w:r w:rsidRPr="00230771">
        <w:t xml:space="preserve"> 3 and 4 short-term acceptable risk</w:t>
      </w:r>
      <w:r w:rsidR="009A3F17">
        <w:t>s</w:t>
      </w:r>
      <w:r w:rsidRPr="00230771">
        <w:t>.</w:t>
      </w:r>
      <w:r w:rsidR="00E442E7">
        <w:t xml:space="preserve"> </w:t>
      </w:r>
      <w:r w:rsidRPr="00230771">
        <w:t xml:space="preserve">Generally, for events unlikely to progress beyond </w:t>
      </w:r>
      <w:r w:rsidR="00C91A1C">
        <w:t>HL</w:t>
      </w:r>
      <w:r w:rsidRPr="00230771">
        <w:t xml:space="preserve"> 3</w:t>
      </w:r>
      <w:r w:rsidR="009B69A1" w:rsidRPr="00230771">
        <w:t>, such as</w:t>
      </w:r>
      <w:r w:rsidRPr="00230771">
        <w:t xml:space="preserve"> those that have low </w:t>
      </w:r>
      <w:r w:rsidR="00E162F8">
        <w:t>HL</w:t>
      </w:r>
      <w:r w:rsidRPr="00230771">
        <w:t xml:space="preserve"> 4 or 5 hazard ratios, the </w:t>
      </w:r>
      <w:r w:rsidR="00E162F8">
        <w:t>HL</w:t>
      </w:r>
      <w:r w:rsidRPr="00230771">
        <w:t xml:space="preserve"> 3 guidelines will be the limiting values.</w:t>
      </w:r>
      <w:r w:rsidR="00E442E7">
        <w:t xml:space="preserve"> </w:t>
      </w:r>
      <w:r w:rsidRPr="00230771">
        <w:t xml:space="preserve">For those with </w:t>
      </w:r>
      <w:r w:rsidR="001B51CA">
        <w:t xml:space="preserve">a </w:t>
      </w:r>
      <w:r w:rsidRPr="00230771">
        <w:t xml:space="preserve">high hazard ratio for </w:t>
      </w:r>
      <w:r w:rsidR="00C91A1C">
        <w:t>HL</w:t>
      </w:r>
      <w:r w:rsidRPr="00230771">
        <w:t xml:space="preserve"> 4 and above, the </w:t>
      </w:r>
      <w:r w:rsidR="00C91A1C">
        <w:t>HL</w:t>
      </w:r>
      <w:r w:rsidRPr="00230771">
        <w:t xml:space="preserve"> 4 guidelines will be the limiting values.</w:t>
      </w:r>
      <w:r w:rsidR="00E442E7">
        <w:t xml:space="preserve"> </w:t>
      </w:r>
      <w:r w:rsidRPr="00230771">
        <w:t xml:space="preserve">Corrective actions should reflect the event’s </w:t>
      </w:r>
      <w:r w:rsidR="00E162F8">
        <w:t>HL</w:t>
      </w:r>
      <w:r w:rsidRPr="00230771">
        <w:t>, the probability of an event, and the size of the affected fleet.</w:t>
      </w:r>
      <w:r w:rsidR="00E442E7">
        <w:t xml:space="preserve"> </w:t>
      </w:r>
      <w:r w:rsidRPr="00230771">
        <w:t>For large fleet sizes, the risk factor guideline will likely be the limiting value.</w:t>
      </w:r>
      <w:r w:rsidR="00E442E7">
        <w:t xml:space="preserve"> </w:t>
      </w:r>
      <w:r w:rsidRPr="00230771">
        <w:t>For small fleets, it is likely that the risk per flight guideline will be the limiting value.</w:t>
      </w:r>
    </w:p>
    <w:p w14:paraId="5CDBCF65" w14:textId="7A34321B" w:rsidR="00762534" w:rsidRDefault="00DE177C" w:rsidP="001B51CA">
      <w:pPr>
        <w:pStyle w:val="Levels1-3-Note"/>
      </w:pPr>
      <w:r>
        <w:t>C</w:t>
      </w:r>
      <w:r w:rsidR="002B53DA" w:rsidRPr="002B53DA">
        <w:t>urrently</w:t>
      </w:r>
      <w:r>
        <w:t>, there are</w:t>
      </w:r>
      <w:r w:rsidR="002B53DA" w:rsidRPr="002B53DA">
        <w:t xml:space="preserve"> no standardized guidelines for </w:t>
      </w:r>
      <w:r w:rsidR="00C91A1C">
        <w:t>HL</w:t>
      </w:r>
      <w:r w:rsidR="002B53DA" w:rsidRPr="002B53DA">
        <w:t xml:space="preserve"> 5 events</w:t>
      </w:r>
      <w:r w:rsidR="009A407E">
        <w:t xml:space="preserve"> and </w:t>
      </w:r>
      <w:r w:rsidR="00624890" w:rsidRPr="00FE7A55">
        <w:t>the engine community has</w:t>
      </w:r>
      <w:r w:rsidR="009A407E" w:rsidRPr="00FE7A55">
        <w:t xml:space="preserve"> no plans to develop them</w:t>
      </w:r>
      <w:r w:rsidR="002B53DA" w:rsidRPr="00FE7A55">
        <w:t>.</w:t>
      </w:r>
      <w:r w:rsidR="00E442E7" w:rsidRPr="00FE7A55">
        <w:t xml:space="preserve"> </w:t>
      </w:r>
      <w:r w:rsidR="003D776E" w:rsidRPr="00FE7A55">
        <w:t xml:space="preserve">The </w:t>
      </w:r>
      <w:r w:rsidR="00C91A1C" w:rsidRPr="00FE7A55">
        <w:t>HL</w:t>
      </w:r>
      <w:r w:rsidR="003D776E" w:rsidRPr="00FE7A55">
        <w:t xml:space="preserve"> 4 guidelines </w:t>
      </w:r>
      <w:r w:rsidR="00624890">
        <w:t>cover</w:t>
      </w:r>
      <w:r w:rsidR="003D776E">
        <w:t xml:space="preserve"> most level 5 </w:t>
      </w:r>
      <w:r w:rsidR="003D776E">
        <w:lastRenderedPageBreak/>
        <w:t>threats.</w:t>
      </w:r>
      <w:r w:rsidR="00E442E7">
        <w:t xml:space="preserve"> </w:t>
      </w:r>
      <w:r w:rsidR="009103BE">
        <w:t xml:space="preserve">Use the </w:t>
      </w:r>
      <w:r w:rsidR="00C91A1C">
        <w:t>HL</w:t>
      </w:r>
      <w:r w:rsidR="009103BE">
        <w:t xml:space="preserve"> 4 guidelines when assessing hazards that could poten</w:t>
      </w:r>
      <w:r w:rsidR="006E3478">
        <w:t>tial</w:t>
      </w:r>
      <w:r w:rsidR="003F1A05">
        <w:t>ly</w:t>
      </w:r>
      <w:r w:rsidR="006E3478">
        <w:t xml:space="preserve"> result in a level 5 event.</w:t>
      </w:r>
    </w:p>
    <w:p w14:paraId="0960F6DB" w14:textId="77777777" w:rsidR="00795DF5" w:rsidRDefault="00795DF5" w:rsidP="009C2E13">
      <w:pPr>
        <w:pStyle w:val="Caption"/>
      </w:pPr>
      <w:r w:rsidRPr="009E72CC">
        <w:t>Table 1.</w:t>
      </w:r>
      <w:r>
        <w:t xml:space="preserve"> Risk Guidelines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041"/>
        <w:gridCol w:w="1486"/>
        <w:gridCol w:w="1140"/>
        <w:gridCol w:w="1626"/>
      </w:tblGrid>
      <w:tr w:rsidR="002B53DA" w14:paraId="42A19112" w14:textId="77777777" w:rsidTr="00F21387">
        <w:trPr>
          <w:trHeight w:val="339"/>
          <w:tblHeader/>
        </w:trPr>
        <w:tc>
          <w:tcPr>
            <w:tcW w:w="2244" w:type="dxa"/>
          </w:tcPr>
          <w:p w14:paraId="3FCE270A" w14:textId="77777777" w:rsidR="002B53DA" w:rsidRDefault="002B53DA" w:rsidP="00092FCE"/>
        </w:tc>
        <w:tc>
          <w:tcPr>
            <w:tcW w:w="2527" w:type="dxa"/>
            <w:gridSpan w:val="2"/>
          </w:tcPr>
          <w:p w14:paraId="62BC8C90" w14:textId="77777777" w:rsidR="002B53DA" w:rsidRDefault="005464EE" w:rsidP="00F21387">
            <w:pPr>
              <w:jc w:val="center"/>
              <w:rPr>
                <w:u w:val="single"/>
              </w:rPr>
            </w:pPr>
            <w:r>
              <w:rPr>
                <w:u w:val="single"/>
              </w:rPr>
              <w:t xml:space="preserve">Hazard </w:t>
            </w:r>
            <w:r w:rsidR="002B53DA">
              <w:rPr>
                <w:u w:val="single"/>
              </w:rPr>
              <w:t>Level 3 Guidelines</w:t>
            </w:r>
          </w:p>
        </w:tc>
        <w:tc>
          <w:tcPr>
            <w:tcW w:w="2766" w:type="dxa"/>
            <w:gridSpan w:val="2"/>
          </w:tcPr>
          <w:p w14:paraId="766959A9" w14:textId="77777777" w:rsidR="002B53DA" w:rsidRDefault="005464EE" w:rsidP="00F21387">
            <w:pPr>
              <w:jc w:val="center"/>
              <w:rPr>
                <w:u w:val="single"/>
              </w:rPr>
            </w:pPr>
            <w:r>
              <w:rPr>
                <w:u w:val="single"/>
              </w:rPr>
              <w:t xml:space="preserve">Hazard </w:t>
            </w:r>
            <w:r w:rsidR="002B53DA">
              <w:rPr>
                <w:u w:val="single"/>
              </w:rPr>
              <w:t>Level 4 Guidelines</w:t>
            </w:r>
          </w:p>
        </w:tc>
      </w:tr>
      <w:tr w:rsidR="002B53DA" w14:paraId="5B0E2155" w14:textId="77777777" w:rsidTr="00F21387">
        <w:trPr>
          <w:trHeight w:val="505"/>
        </w:trPr>
        <w:tc>
          <w:tcPr>
            <w:tcW w:w="2244" w:type="dxa"/>
          </w:tcPr>
          <w:p w14:paraId="4B472FF0" w14:textId="77777777" w:rsidR="002B53DA" w:rsidRDefault="002B53DA" w:rsidP="00092FCE"/>
        </w:tc>
        <w:tc>
          <w:tcPr>
            <w:tcW w:w="1041" w:type="dxa"/>
          </w:tcPr>
          <w:p w14:paraId="0506E036" w14:textId="77777777" w:rsidR="002B53DA" w:rsidRDefault="002B53DA" w:rsidP="00092FCE">
            <w:pPr>
              <w:jc w:val="center"/>
            </w:pPr>
            <w:r>
              <w:t>Risk factor</w:t>
            </w:r>
          </w:p>
        </w:tc>
        <w:tc>
          <w:tcPr>
            <w:tcW w:w="1486" w:type="dxa"/>
          </w:tcPr>
          <w:p w14:paraId="73D418CF" w14:textId="77777777" w:rsidR="002B53DA" w:rsidRDefault="002B53DA" w:rsidP="00092FCE">
            <w:pPr>
              <w:jc w:val="center"/>
            </w:pPr>
            <w:r>
              <w:t>Per</w:t>
            </w:r>
            <w:r w:rsidR="009C30D7">
              <w:t>-</w:t>
            </w:r>
            <w:r>
              <w:t>flight</w:t>
            </w:r>
          </w:p>
        </w:tc>
        <w:tc>
          <w:tcPr>
            <w:tcW w:w="1140" w:type="dxa"/>
          </w:tcPr>
          <w:p w14:paraId="2AC8A8F3" w14:textId="77777777" w:rsidR="002B53DA" w:rsidRDefault="002B53DA" w:rsidP="00092FCE">
            <w:pPr>
              <w:jc w:val="center"/>
            </w:pPr>
            <w:r>
              <w:t>Risk factor</w:t>
            </w:r>
          </w:p>
        </w:tc>
        <w:tc>
          <w:tcPr>
            <w:tcW w:w="1626" w:type="dxa"/>
          </w:tcPr>
          <w:p w14:paraId="6F062D8B" w14:textId="77777777" w:rsidR="002B53DA" w:rsidRDefault="002B53DA" w:rsidP="00092FCE">
            <w:pPr>
              <w:jc w:val="center"/>
            </w:pPr>
            <w:r>
              <w:t>Per</w:t>
            </w:r>
            <w:r w:rsidR="009C30D7">
              <w:t>-</w:t>
            </w:r>
            <w:r>
              <w:t>flight</w:t>
            </w:r>
          </w:p>
        </w:tc>
      </w:tr>
      <w:tr w:rsidR="002B53DA" w14:paraId="33C29B0E" w14:textId="77777777" w:rsidTr="00F21387">
        <w:trPr>
          <w:trHeight w:val="513"/>
        </w:trPr>
        <w:tc>
          <w:tcPr>
            <w:tcW w:w="2244" w:type="dxa"/>
          </w:tcPr>
          <w:p w14:paraId="4821B330" w14:textId="77777777" w:rsidR="002B53DA" w:rsidRDefault="002B53DA" w:rsidP="00092FCE">
            <w:r>
              <w:t>Long-term acceptable risk</w:t>
            </w:r>
          </w:p>
        </w:tc>
        <w:tc>
          <w:tcPr>
            <w:tcW w:w="1041" w:type="dxa"/>
          </w:tcPr>
          <w:p w14:paraId="4FE41533" w14:textId="77777777" w:rsidR="002B53DA" w:rsidRDefault="002B53DA" w:rsidP="00092FCE">
            <w:pPr>
              <w:jc w:val="center"/>
            </w:pPr>
            <w:r>
              <w:t>-</w:t>
            </w:r>
          </w:p>
        </w:tc>
        <w:tc>
          <w:tcPr>
            <w:tcW w:w="1486" w:type="dxa"/>
          </w:tcPr>
          <w:p w14:paraId="7C0E1A6B" w14:textId="77777777" w:rsidR="002B53DA" w:rsidRDefault="002B53DA" w:rsidP="00092FCE">
            <w:pPr>
              <w:jc w:val="center"/>
            </w:pPr>
            <w:r>
              <w:t>1</w:t>
            </w:r>
            <w:r w:rsidR="00237BD9">
              <w:t xml:space="preserve"> </w:t>
            </w:r>
            <w:r>
              <w:t>x</w:t>
            </w:r>
            <w:r w:rsidR="00237BD9">
              <w:t xml:space="preserve"> </w:t>
            </w:r>
            <w:r>
              <w:t>10</w:t>
            </w:r>
            <w:r>
              <w:rPr>
                <w:vertAlign w:val="superscript"/>
              </w:rPr>
              <w:t>-8</w:t>
            </w:r>
          </w:p>
        </w:tc>
        <w:tc>
          <w:tcPr>
            <w:tcW w:w="1140" w:type="dxa"/>
          </w:tcPr>
          <w:p w14:paraId="4418735B" w14:textId="77777777" w:rsidR="002B53DA" w:rsidRDefault="002B53DA" w:rsidP="00092FCE">
            <w:pPr>
              <w:jc w:val="center"/>
            </w:pPr>
            <w:r>
              <w:t>-</w:t>
            </w:r>
          </w:p>
        </w:tc>
        <w:tc>
          <w:tcPr>
            <w:tcW w:w="1626" w:type="dxa"/>
          </w:tcPr>
          <w:p w14:paraId="790E46E4" w14:textId="77777777" w:rsidR="002B53DA" w:rsidRDefault="002B53DA" w:rsidP="00092FCE">
            <w:pPr>
              <w:jc w:val="center"/>
            </w:pPr>
            <w:r>
              <w:t>1</w:t>
            </w:r>
            <w:r w:rsidR="00237BD9">
              <w:t xml:space="preserve"> </w:t>
            </w:r>
            <w:r>
              <w:t>x</w:t>
            </w:r>
            <w:r w:rsidR="00237BD9">
              <w:t xml:space="preserve"> </w:t>
            </w:r>
            <w:r>
              <w:t>10</w:t>
            </w:r>
            <w:r>
              <w:rPr>
                <w:vertAlign w:val="superscript"/>
              </w:rPr>
              <w:t>-9</w:t>
            </w:r>
          </w:p>
        </w:tc>
      </w:tr>
      <w:tr w:rsidR="002B53DA" w14:paraId="434F4403" w14:textId="77777777" w:rsidTr="00F21387">
        <w:trPr>
          <w:trHeight w:val="437"/>
        </w:trPr>
        <w:tc>
          <w:tcPr>
            <w:tcW w:w="2244" w:type="dxa"/>
          </w:tcPr>
          <w:p w14:paraId="4BC3363C" w14:textId="77777777" w:rsidR="002B53DA" w:rsidRDefault="002B53DA" w:rsidP="00092FCE">
            <w:r>
              <w:t xml:space="preserve">Short-term acceptable risk </w:t>
            </w:r>
          </w:p>
        </w:tc>
        <w:tc>
          <w:tcPr>
            <w:tcW w:w="1041" w:type="dxa"/>
          </w:tcPr>
          <w:p w14:paraId="1B0486F2" w14:textId="77777777" w:rsidR="002B53DA" w:rsidRDefault="002B53DA" w:rsidP="00092FCE">
            <w:pPr>
              <w:jc w:val="center"/>
            </w:pPr>
            <w:r>
              <w:t>1.0</w:t>
            </w:r>
          </w:p>
        </w:tc>
        <w:tc>
          <w:tcPr>
            <w:tcW w:w="1486" w:type="dxa"/>
          </w:tcPr>
          <w:p w14:paraId="17B9C204" w14:textId="77777777" w:rsidR="002B53DA" w:rsidRDefault="002B53DA" w:rsidP="00092FCE">
            <w:pPr>
              <w:jc w:val="center"/>
            </w:pPr>
            <w:r>
              <w:t>4</w:t>
            </w:r>
            <w:r w:rsidR="00237BD9">
              <w:t xml:space="preserve"> </w:t>
            </w:r>
            <w:r>
              <w:t>x</w:t>
            </w:r>
            <w:r w:rsidR="00237BD9">
              <w:t xml:space="preserve"> </w:t>
            </w:r>
            <w:r>
              <w:t>10</w:t>
            </w:r>
            <w:r>
              <w:rPr>
                <w:vertAlign w:val="superscript"/>
              </w:rPr>
              <w:t>-5</w:t>
            </w:r>
          </w:p>
        </w:tc>
        <w:tc>
          <w:tcPr>
            <w:tcW w:w="1140" w:type="dxa"/>
          </w:tcPr>
          <w:p w14:paraId="4C54CD99" w14:textId="77777777" w:rsidR="002B53DA" w:rsidRDefault="002B53DA" w:rsidP="00092FCE">
            <w:pPr>
              <w:jc w:val="center"/>
            </w:pPr>
            <w:r>
              <w:t>0.1</w:t>
            </w:r>
          </w:p>
        </w:tc>
        <w:tc>
          <w:tcPr>
            <w:tcW w:w="1626" w:type="dxa"/>
          </w:tcPr>
          <w:p w14:paraId="6C603E9F" w14:textId="77777777" w:rsidR="002B53DA" w:rsidRDefault="002B53DA" w:rsidP="00092FCE">
            <w:pPr>
              <w:jc w:val="center"/>
            </w:pPr>
            <w:r>
              <w:t>4</w:t>
            </w:r>
            <w:r w:rsidR="00237BD9">
              <w:t xml:space="preserve"> </w:t>
            </w:r>
            <w:r>
              <w:t>x</w:t>
            </w:r>
            <w:r w:rsidR="00237BD9">
              <w:t xml:space="preserve"> </w:t>
            </w:r>
            <w:r>
              <w:t>10</w:t>
            </w:r>
            <w:r>
              <w:rPr>
                <w:vertAlign w:val="superscript"/>
              </w:rPr>
              <w:t>-6</w:t>
            </w:r>
          </w:p>
        </w:tc>
      </w:tr>
    </w:tbl>
    <w:p w14:paraId="00451897" w14:textId="0226E10C" w:rsidR="002B53DA" w:rsidRDefault="002B53DA" w:rsidP="00081836">
      <w:pPr>
        <w:pStyle w:val="Heading3"/>
      </w:pPr>
      <w:r w:rsidRPr="002B53DA" w:rsidDel="00DE177C">
        <w:t>The</w:t>
      </w:r>
      <w:r w:rsidR="00D66297">
        <w:t xml:space="preserve"> risk</w:t>
      </w:r>
      <w:r w:rsidRPr="002B53DA" w:rsidDel="00DE177C">
        <w:t xml:space="preserve"> guidelines</w:t>
      </w:r>
      <w:r w:rsidR="00D66297">
        <w:t xml:space="preserve"> in </w:t>
      </w:r>
      <w:r w:rsidR="00795DF5">
        <w:t>t</w:t>
      </w:r>
      <w:r w:rsidR="00D66297">
        <w:t>able 1</w:t>
      </w:r>
      <w:r w:rsidRPr="002B53DA" w:rsidDel="00DE177C">
        <w:t xml:space="preserve"> should not be regarded as targets or typical values.</w:t>
      </w:r>
      <w:bookmarkStart w:id="16" w:name="_Hlk127090561"/>
      <w:r w:rsidR="00E442E7">
        <w:t xml:space="preserve"> </w:t>
      </w:r>
      <w:r w:rsidRPr="002B53DA" w:rsidDel="00DE177C">
        <w:t>The control program values should usually be lower than these guidelines</w:t>
      </w:r>
      <w:r w:rsidR="00E46575" w:rsidDel="00DE177C">
        <w:t>,</w:t>
      </w:r>
      <w:r w:rsidRPr="002B53DA" w:rsidDel="00DE177C">
        <w:t xml:space="preserve"> unless a lower value would result in extreme resource availability difficulties</w:t>
      </w:r>
      <w:r w:rsidR="0092473D">
        <w:t xml:space="preserve"> such as the availability of parts</w:t>
      </w:r>
      <w:r w:rsidRPr="002B53DA" w:rsidDel="00DE177C">
        <w:t>.</w:t>
      </w:r>
      <w:bookmarkEnd w:id="16"/>
      <w:r w:rsidR="00E442E7">
        <w:t xml:space="preserve"> </w:t>
      </w:r>
      <w:r>
        <w:t xml:space="preserve">Any reasonable action </w:t>
      </w:r>
      <w:r w:rsidR="00E46575">
        <w:t xml:space="preserve">that </w:t>
      </w:r>
      <w:r>
        <w:t>reduces the risk should be included as part of the control program</w:t>
      </w:r>
      <w:r w:rsidR="00E46575">
        <w:t>,</w:t>
      </w:r>
      <w:r>
        <w:t xml:space="preserve"> keeping in mind the principles of prioritization of resources.</w:t>
      </w:r>
    </w:p>
    <w:p w14:paraId="75CCFDCB" w14:textId="5854F532" w:rsidR="002B53DA" w:rsidRPr="002B53DA" w:rsidRDefault="002B53DA" w:rsidP="00081836">
      <w:pPr>
        <w:pStyle w:val="Heading3"/>
      </w:pPr>
      <w:r w:rsidRPr="002B53DA">
        <w:t>The</w:t>
      </w:r>
      <w:r w:rsidR="00177D59">
        <w:t xml:space="preserve"> </w:t>
      </w:r>
      <w:r w:rsidR="00C91A1C">
        <w:t>HL</w:t>
      </w:r>
      <w:r w:rsidRPr="002B53DA">
        <w:t xml:space="preserve"> 4 risk guidelines are intended to cover exposures to the most severe of serious injuries</w:t>
      </w:r>
      <w:r w:rsidR="009B69A1">
        <w:t>, such as</w:t>
      </w:r>
      <w:r w:rsidRPr="002B53DA">
        <w:t xml:space="preserve"> life-threatening injuries.</w:t>
      </w:r>
      <w:r w:rsidR="00E442E7">
        <w:t xml:space="preserve"> </w:t>
      </w:r>
      <w:r w:rsidRPr="002B53DA">
        <w:t>Consequently, relaxation of these guidelines may be acceptable in cases where the associated serious injuries are clearly not life threatening</w:t>
      </w:r>
      <w:r w:rsidR="009B69A1">
        <w:t>, such as</w:t>
      </w:r>
      <w:r w:rsidRPr="002B53DA">
        <w:t xml:space="preserve"> simple fractures.</w:t>
      </w:r>
    </w:p>
    <w:p w14:paraId="543143A4" w14:textId="77777777" w:rsidR="00E35B8B" w:rsidRPr="00081836" w:rsidRDefault="00E35B8B" w:rsidP="00A471BF">
      <w:pPr>
        <w:pStyle w:val="Heading2"/>
        <w:rPr>
          <w:rStyle w:val="Lead-in-Bold"/>
        </w:rPr>
      </w:pPr>
      <w:r w:rsidRPr="00081836">
        <w:rPr>
          <w:rStyle w:val="Lead-in-Bold"/>
        </w:rPr>
        <w:t>Risk Guidelines for In-Flight Shutdown (IFSD) Rate Concerns.</w:t>
      </w:r>
    </w:p>
    <w:p w14:paraId="00FCCC37" w14:textId="4F572FA4" w:rsidR="00DB248F" w:rsidRDefault="002B53DA" w:rsidP="00081836">
      <w:pPr>
        <w:pStyle w:val="Levels1-3-OneParagraphUnderHeading"/>
      </w:pPr>
      <w:r w:rsidRPr="002B53DA">
        <w:t xml:space="preserve">Typically, </w:t>
      </w:r>
      <w:r w:rsidR="009117AA">
        <w:t>manufacturers seek</w:t>
      </w:r>
      <w:r w:rsidRPr="008B1533">
        <w:rPr>
          <w:color w:val="00B050"/>
        </w:rPr>
        <w:t xml:space="preserve"> </w:t>
      </w:r>
      <w:r w:rsidRPr="00116F90">
        <w:t xml:space="preserve">to provide engine reliability improvements </w:t>
      </w:r>
      <w:r w:rsidR="009117AA" w:rsidRPr="00116F90">
        <w:t>that will ensure</w:t>
      </w:r>
      <w:r w:rsidRPr="00116F90">
        <w:t xml:space="preserve"> adequate protection against excessive </w:t>
      </w:r>
      <w:r w:rsidR="009B729A" w:rsidRPr="00116F90">
        <w:t xml:space="preserve">IFSD </w:t>
      </w:r>
      <w:r w:rsidRPr="00116F90">
        <w:t>rate concerns.</w:t>
      </w:r>
      <w:r w:rsidR="00E442E7" w:rsidRPr="00116F90">
        <w:t xml:space="preserve"> </w:t>
      </w:r>
      <w:r w:rsidR="00686860">
        <w:t>For rates below 2 x 10</w:t>
      </w:r>
      <w:r w:rsidR="00686860" w:rsidRPr="00516B26">
        <w:rPr>
          <w:vertAlign w:val="superscript"/>
        </w:rPr>
        <w:t>-4</w:t>
      </w:r>
      <w:r w:rsidR="00686860">
        <w:t xml:space="preserve"> failures per cycle, an engine shutdown in which the only consequence is a loss of thrust should not be </w:t>
      </w:r>
      <w:r w:rsidR="00686860" w:rsidRPr="00651360">
        <w:t>a cause for concern</w:t>
      </w:r>
      <w:r w:rsidR="00360E95">
        <w:t xml:space="preserve"> (other values may be listed elsewhere on a per-flight-hour basis; for example, Extended Operations)</w:t>
      </w:r>
      <w:r w:rsidR="00686860">
        <w:t>.</w:t>
      </w:r>
      <w:r w:rsidR="00E442E7">
        <w:t xml:space="preserve"> </w:t>
      </w:r>
      <w:r w:rsidR="009B69A1">
        <w:t>T</w:t>
      </w:r>
      <w:r w:rsidRPr="002B53DA">
        <w:t>his exclusion assumes that the event does not result from an initiating cause that can affect multiple engines at the same time.</w:t>
      </w:r>
    </w:p>
    <w:p w14:paraId="7D330117" w14:textId="77777777" w:rsidR="00AC74A8" w:rsidRPr="00081836" w:rsidRDefault="002B53DA" w:rsidP="004970E2">
      <w:pPr>
        <w:pStyle w:val="Heading2"/>
        <w:rPr>
          <w:rStyle w:val="Lead-in-Bold"/>
        </w:rPr>
      </w:pPr>
      <w:r w:rsidRPr="00F17D19">
        <w:rPr>
          <w:rStyle w:val="Lead-in-Bold"/>
        </w:rPr>
        <w:t xml:space="preserve">Risk </w:t>
      </w:r>
      <w:r w:rsidR="00AC74A8">
        <w:rPr>
          <w:rStyle w:val="Lead-in-Bold"/>
        </w:rPr>
        <w:t>G</w:t>
      </w:r>
      <w:r w:rsidRPr="00F17D19">
        <w:rPr>
          <w:rStyle w:val="Lead-in-Bold"/>
        </w:rPr>
        <w:t xml:space="preserve">uidelines for </w:t>
      </w:r>
      <w:r w:rsidR="00AC74A8">
        <w:rPr>
          <w:rStyle w:val="Lead-in-Bold"/>
        </w:rPr>
        <w:t>I</w:t>
      </w:r>
      <w:r w:rsidRPr="00F17D19">
        <w:rPr>
          <w:rStyle w:val="Lead-in-Bold"/>
        </w:rPr>
        <w:t xml:space="preserve">mmediate </w:t>
      </w:r>
      <w:r w:rsidR="00AC74A8">
        <w:rPr>
          <w:rStyle w:val="Lead-in-Bold"/>
        </w:rPr>
        <w:t>A</w:t>
      </w:r>
      <w:r w:rsidRPr="00F17D19">
        <w:rPr>
          <w:rStyle w:val="Lead-in-Bold"/>
        </w:rPr>
        <w:t>ction</w:t>
      </w:r>
      <w:r w:rsidR="00AB2BC2" w:rsidRPr="00081836">
        <w:rPr>
          <w:rStyle w:val="Lead-in-Bold"/>
        </w:rPr>
        <w:t>.</w:t>
      </w:r>
    </w:p>
    <w:p w14:paraId="28BDC884" w14:textId="70D1727A" w:rsidR="002B53DA" w:rsidRPr="002B53DA" w:rsidRDefault="00AB2BC2" w:rsidP="00081836">
      <w:pPr>
        <w:pStyle w:val="Levels1-3-OneParagraphUnderHeading"/>
      </w:pPr>
      <w:r>
        <w:t>I</w:t>
      </w:r>
      <w:r w:rsidR="002B53DA" w:rsidRPr="002B53DA">
        <w:t xml:space="preserve">f the uncorrected risk factor for the affected fleet would exceed the applicable short-term risk factor within 60 days or the risk per flight to which </w:t>
      </w:r>
      <w:r>
        <w:t xml:space="preserve">an </w:t>
      </w:r>
      <w:r w:rsidR="00EF2EC6" w:rsidRPr="002B53DA">
        <w:t>air</w:t>
      </w:r>
      <w:r w:rsidR="00833751">
        <w:t>plane</w:t>
      </w:r>
      <w:r w:rsidR="00EF2EC6" w:rsidRPr="002B53DA">
        <w:t xml:space="preserve"> </w:t>
      </w:r>
      <w:r w:rsidR="002B53DA" w:rsidRPr="002B53DA">
        <w:t xml:space="preserve">would be exposed during that same </w:t>
      </w:r>
      <w:r w:rsidR="007F7B7C" w:rsidRPr="002B53DA">
        <w:t>60</w:t>
      </w:r>
      <w:r w:rsidR="007F7B7C">
        <w:t>-day</w:t>
      </w:r>
      <w:r w:rsidR="002B53DA" w:rsidRPr="002B53DA">
        <w:t xml:space="preserve"> period would exceed the applicable </w:t>
      </w:r>
      <w:r w:rsidR="00A92931">
        <w:t>risk</w:t>
      </w:r>
      <w:r w:rsidR="002B53DA" w:rsidRPr="002B53DA">
        <w:t xml:space="preserve"> guideline, </w:t>
      </w:r>
      <w:r>
        <w:t xml:space="preserve">then </w:t>
      </w:r>
      <w:r w:rsidR="002B53DA" w:rsidRPr="002B53DA">
        <w:t>immediate action should be considered.</w:t>
      </w:r>
      <w:r w:rsidR="00E442E7">
        <w:t xml:space="preserve"> </w:t>
      </w:r>
      <w:r w:rsidR="002B53DA" w:rsidRPr="002B53DA">
        <w:t>How immediate this action should be could vary from before the next flight to within 60 days depending on the nature and level of risk.</w:t>
      </w:r>
      <w:r w:rsidR="00E442E7">
        <w:t xml:space="preserve"> </w:t>
      </w:r>
      <w:r w:rsidR="002B53DA" w:rsidRPr="002B53DA">
        <w:t>If a quantitative assessment of the risk is unavailable, the decision as to the necessity of immediate action should be made based on objective judgment and expert opinion.</w:t>
      </w:r>
      <w:r w:rsidR="00E442E7">
        <w:t xml:space="preserve"> </w:t>
      </w:r>
      <w:r w:rsidR="002B53DA" w:rsidRPr="002B53DA">
        <w:t>This initial analysis is not meant to take the place of the complete and in-depth analysis typically performed during the continuing assessment of the risk posed by the identified unsafe condition.</w:t>
      </w:r>
      <w:r w:rsidR="00E442E7">
        <w:t xml:space="preserve"> </w:t>
      </w:r>
      <w:r w:rsidR="002B53DA" w:rsidRPr="002B53DA">
        <w:t>It is meant to give a best-estimate relative ranking compared to the overall contributions of all unsafe conditions and to indicate whether continued operation without immediate corrective action is acceptable.</w:t>
      </w:r>
    </w:p>
    <w:p w14:paraId="13C24A65" w14:textId="77777777" w:rsidR="002B53DA" w:rsidRDefault="002B53DA" w:rsidP="002B53DA">
      <w:pPr>
        <w:pStyle w:val="Heading1"/>
      </w:pPr>
      <w:r>
        <w:lastRenderedPageBreak/>
        <w:t>PRIORITIZATION BASED ON RISK.</w:t>
      </w:r>
    </w:p>
    <w:p w14:paraId="1FACC163" w14:textId="7E554D07" w:rsidR="002B53DA" w:rsidRPr="002B53DA" w:rsidRDefault="002B53DA" w:rsidP="002B53DA">
      <w:pPr>
        <w:pStyle w:val="Levels1-3-OneParagraphUnderHeading"/>
      </w:pPr>
      <w:r w:rsidRPr="002B53DA">
        <w:t>Figure 1 provides a useful means to compare unsafe conditions</w:t>
      </w:r>
      <w:r w:rsidR="00D26947">
        <w:t>,</w:t>
      </w:r>
      <w:r w:rsidRPr="002B53DA">
        <w:t xml:space="preserve"> based on risk calculations and</w:t>
      </w:r>
      <w:r w:rsidR="001907DD">
        <w:t xml:space="preserve"> the</w:t>
      </w:r>
      <w:r w:rsidR="005464EE">
        <w:t xml:space="preserve"> </w:t>
      </w:r>
      <w:r w:rsidR="00FB34DE">
        <w:t>HL</w:t>
      </w:r>
      <w:r w:rsidR="00A40C5D">
        <w:t>s</w:t>
      </w:r>
      <w:r w:rsidR="00D26947">
        <w:t xml:space="preserve"> 3</w:t>
      </w:r>
      <w:r w:rsidR="008C4537">
        <w:t xml:space="preserve"> and 4</w:t>
      </w:r>
      <w:r w:rsidRPr="002B53DA">
        <w:t xml:space="preserve"> risk guidelines</w:t>
      </w:r>
      <w:r w:rsidR="008227D9">
        <w:t xml:space="preserve"> that</w:t>
      </w:r>
      <w:r w:rsidRPr="002B53DA">
        <w:t xml:space="preserve"> help to establish priorities.</w:t>
      </w:r>
    </w:p>
    <w:p w14:paraId="4183AB63" w14:textId="77777777" w:rsidR="002B53DA" w:rsidRDefault="00EA3561" w:rsidP="002B53DA">
      <w:pPr>
        <w:pStyle w:val="Heading2"/>
      </w:pPr>
      <w:r>
        <w:rPr>
          <w:rStyle w:val="Lead-in-Bold"/>
        </w:rPr>
        <w:t>High R</w:t>
      </w:r>
      <w:r w:rsidR="002B53DA" w:rsidRPr="002B53DA">
        <w:rPr>
          <w:rStyle w:val="Lead-in-Bold"/>
        </w:rPr>
        <w:t>isk.</w:t>
      </w:r>
    </w:p>
    <w:p w14:paraId="7352C62F" w14:textId="435F74E3" w:rsidR="00EA3561" w:rsidRDefault="002B53DA" w:rsidP="002B53DA">
      <w:pPr>
        <w:pStyle w:val="Levels1-3-OneParagraphUnderHeading"/>
      </w:pPr>
      <w:r w:rsidRPr="002B53DA">
        <w:t>A</w:t>
      </w:r>
      <w:r w:rsidR="00A63B2D">
        <w:t>n</w:t>
      </w:r>
      <w:r w:rsidRPr="002B53DA">
        <w:t xml:space="preserve"> </w:t>
      </w:r>
      <w:r w:rsidR="00FB34DE">
        <w:t>HL</w:t>
      </w:r>
      <w:r w:rsidRPr="002B53DA">
        <w:t xml:space="preserve"> 3 event is a likely occurrence when its risk plots in the area to the right of the sloped line in </w:t>
      </w:r>
      <w:r w:rsidR="001E2217">
        <w:t>F</w:t>
      </w:r>
      <w:r w:rsidR="00D26947" w:rsidRPr="002B53DA">
        <w:t xml:space="preserve">igure </w:t>
      </w:r>
      <w:r w:rsidRPr="002B53DA">
        <w:t>1</w:t>
      </w:r>
      <w:r w:rsidR="006A696F">
        <w:t>, which represents a risk factor of 1.0 predicted events</w:t>
      </w:r>
      <w:r w:rsidR="00D26947">
        <w:t>.</w:t>
      </w:r>
      <w:r w:rsidR="00E442E7">
        <w:t xml:space="preserve"> </w:t>
      </w:r>
      <w:r w:rsidRPr="002B53DA">
        <w:t>Furthermore, the malfunction is beginning to contribute more risk than the aggregate risk from all other causes, including contributions from the crew, when it plots in the area above the top horizontal line</w:t>
      </w:r>
      <w:r w:rsidR="00D26947">
        <w:t xml:space="preserve">, </w:t>
      </w:r>
      <w:r w:rsidR="00D26947" w:rsidRPr="002B53DA">
        <w:t>4x10</w:t>
      </w:r>
      <w:r w:rsidR="00D26947" w:rsidRPr="00B24B42">
        <w:rPr>
          <w:vertAlign w:val="superscript"/>
        </w:rPr>
        <w:t>-5</w:t>
      </w:r>
      <w:r w:rsidR="00D26947" w:rsidRPr="002B53DA">
        <w:t xml:space="preserve"> per</w:t>
      </w:r>
      <w:r w:rsidR="009C30D7">
        <w:t xml:space="preserve"> </w:t>
      </w:r>
      <w:r w:rsidR="00D26947" w:rsidRPr="002B53DA">
        <w:t>fligh</w:t>
      </w:r>
      <w:r w:rsidR="00D26947">
        <w:t>t,</w:t>
      </w:r>
      <w:r w:rsidRPr="002B53DA">
        <w:t xml:space="preserve"> </w:t>
      </w:r>
      <w:r w:rsidR="00D26947">
        <w:t xml:space="preserve">displayed </w:t>
      </w:r>
      <w:r w:rsidRPr="002B53DA">
        <w:t xml:space="preserve">in </w:t>
      </w:r>
      <w:r w:rsidR="001E2217">
        <w:t>F</w:t>
      </w:r>
      <w:r w:rsidR="006B6E88" w:rsidRPr="002B53DA">
        <w:t xml:space="preserve">igure </w:t>
      </w:r>
      <w:r w:rsidRPr="002B53DA">
        <w:t>1.</w:t>
      </w:r>
      <w:r w:rsidR="00E442E7">
        <w:t xml:space="preserve"> </w:t>
      </w:r>
      <w:r w:rsidRPr="002B53DA">
        <w:t>In these instances, immediate actions may be necessary.</w:t>
      </w:r>
      <w:r w:rsidR="00E442E7">
        <w:t xml:space="preserve"> </w:t>
      </w:r>
      <w:r w:rsidRPr="002B53DA">
        <w:t xml:space="preserve">Similar values can be established for </w:t>
      </w:r>
      <w:r w:rsidR="00FB34DE">
        <w:t>HL</w:t>
      </w:r>
      <w:r w:rsidRPr="002B53DA">
        <w:t xml:space="preserve"> 4 events, an order of magnitude below the associated</w:t>
      </w:r>
      <w:r w:rsidR="005464EE">
        <w:t xml:space="preserve"> </w:t>
      </w:r>
      <w:r w:rsidR="00FB34DE">
        <w:t>HL</w:t>
      </w:r>
      <w:r w:rsidRPr="002B53DA">
        <w:t xml:space="preserve"> 3 values</w:t>
      </w:r>
      <w:r w:rsidR="00467ED1">
        <w:t>.</w:t>
      </w:r>
      <w:r w:rsidR="00E442E7">
        <w:t xml:space="preserve"> </w:t>
      </w:r>
      <w:r w:rsidR="00467ED1">
        <w:t>T</w:t>
      </w:r>
      <w:r w:rsidRPr="002B53DA">
        <w:t xml:space="preserve">he high-risk area for </w:t>
      </w:r>
      <w:r w:rsidR="00FB34DE">
        <w:t>HL</w:t>
      </w:r>
      <w:r w:rsidRPr="002B53DA">
        <w:t xml:space="preserve"> 4 events is greater than 0.1 predicted events, or above 4x10</w:t>
      </w:r>
      <w:r w:rsidRPr="00B24B42">
        <w:rPr>
          <w:vertAlign w:val="superscript"/>
        </w:rPr>
        <w:t>-6</w:t>
      </w:r>
      <w:r w:rsidRPr="002B53DA">
        <w:t xml:space="preserve"> per</w:t>
      </w:r>
      <w:r w:rsidR="009C30D7">
        <w:t xml:space="preserve"> </w:t>
      </w:r>
      <w:r w:rsidRPr="002B53DA">
        <w:t>flight.</w:t>
      </w:r>
      <w:r w:rsidR="00E442E7">
        <w:t xml:space="preserve"> </w:t>
      </w:r>
      <w:r w:rsidRPr="002B53DA">
        <w:t>These values equate to the short-te</w:t>
      </w:r>
      <w:r w:rsidR="00EA3561">
        <w:t>rm acceptable risk guidelines.</w:t>
      </w:r>
    </w:p>
    <w:p w14:paraId="4989F561" w14:textId="77777777" w:rsidR="00EA3561" w:rsidRPr="00EA3561" w:rsidRDefault="008C4537" w:rsidP="002B53DA">
      <w:pPr>
        <w:pStyle w:val="Heading2"/>
        <w:rPr>
          <w:rStyle w:val="Lead-in-Bold"/>
        </w:rPr>
      </w:pPr>
      <w:r>
        <w:rPr>
          <w:rStyle w:val="Lead-in-Bold"/>
        </w:rPr>
        <w:t xml:space="preserve">Elevated </w:t>
      </w:r>
      <w:r w:rsidR="00EA3561">
        <w:rPr>
          <w:rStyle w:val="Lead-in-Bold"/>
        </w:rPr>
        <w:t>R</w:t>
      </w:r>
      <w:r w:rsidR="002B53DA" w:rsidRPr="00EA3561">
        <w:rPr>
          <w:rStyle w:val="Lead-in-Bold"/>
        </w:rPr>
        <w:t>isk</w:t>
      </w:r>
      <w:r w:rsidR="00EA3561" w:rsidRPr="00EA3561">
        <w:rPr>
          <w:rStyle w:val="Lead-in-Bold"/>
        </w:rPr>
        <w:t>.</w:t>
      </w:r>
    </w:p>
    <w:p w14:paraId="4C977144" w14:textId="6E89FE32" w:rsidR="007F7B7C" w:rsidRDefault="002B53DA" w:rsidP="00EA3561">
      <w:pPr>
        <w:pStyle w:val="Levels1-3-OneParagraphUnderHeading"/>
      </w:pPr>
      <w:r w:rsidRPr="002B53DA">
        <w:t xml:space="preserve">Exposure within the enclosed envelope in </w:t>
      </w:r>
      <w:r w:rsidR="001E2217">
        <w:t>F</w:t>
      </w:r>
      <w:r w:rsidR="00177D59" w:rsidRPr="002B53DA">
        <w:t xml:space="preserve">igure </w:t>
      </w:r>
      <w:r w:rsidRPr="002B53DA">
        <w:t>1</w:t>
      </w:r>
      <w:r w:rsidR="005E00FF">
        <w:t xml:space="preserve">, </w:t>
      </w:r>
      <w:r w:rsidRPr="002B53DA">
        <w:t>to the left of the sloped line and above the bottom horizontal line</w:t>
      </w:r>
      <w:r w:rsidR="005E00FF">
        <w:t>,</w:t>
      </w:r>
      <w:r w:rsidRPr="002B53DA">
        <w:t xml:space="preserve"> imposes sufficient risk to warrant concern and action.</w:t>
      </w:r>
      <w:r w:rsidR="00E442E7">
        <w:t xml:space="preserve"> </w:t>
      </w:r>
      <w:r w:rsidRPr="002B53DA">
        <w:t>Effective management of the risk may be possible through voluntary compliance to the manufacturer's recommended corrective actions.</w:t>
      </w:r>
      <w:r w:rsidR="00E442E7">
        <w:t xml:space="preserve"> </w:t>
      </w:r>
      <w:r w:rsidRPr="002B53DA">
        <w:t>However, even</w:t>
      </w:r>
      <w:r w:rsidR="00CB4DC6">
        <w:t xml:space="preserve"> if</w:t>
      </w:r>
      <w:r w:rsidRPr="002B53DA">
        <w:t xml:space="preserve"> the risk </w:t>
      </w:r>
      <w:r w:rsidR="00CB4DC6">
        <w:t>becomes</w:t>
      </w:r>
      <w:r w:rsidRPr="002B53DA">
        <w:t xml:space="preserve"> mitigated, issuance of an AD may still be </w:t>
      </w:r>
      <w:r w:rsidR="00EE1EEA" w:rsidRPr="002B53DA">
        <w:t>necessary</w:t>
      </w:r>
      <w:r w:rsidRPr="002B53DA">
        <w:t xml:space="preserve"> to minimize the potential for the unsafe condition being reintroduced in future products.</w:t>
      </w:r>
    </w:p>
    <w:p w14:paraId="68E10E2D" w14:textId="77777777" w:rsidR="00EA3561" w:rsidRPr="00EA3561" w:rsidRDefault="002B53DA" w:rsidP="002B53DA">
      <w:pPr>
        <w:pStyle w:val="Heading2"/>
        <w:rPr>
          <w:rStyle w:val="Lead-in-Bold"/>
        </w:rPr>
      </w:pPr>
      <w:r w:rsidRPr="00EA3561">
        <w:rPr>
          <w:rStyle w:val="Lead-in-Bold"/>
        </w:rPr>
        <w:t>Reasona</w:t>
      </w:r>
      <w:r w:rsidR="00EA3561">
        <w:rPr>
          <w:rStyle w:val="Lead-in-Bold"/>
        </w:rPr>
        <w:t>ble R</w:t>
      </w:r>
      <w:r w:rsidRPr="00EA3561">
        <w:rPr>
          <w:rStyle w:val="Lead-in-Bold"/>
        </w:rPr>
        <w:t>isk.</w:t>
      </w:r>
    </w:p>
    <w:p w14:paraId="1CE9B156" w14:textId="4050FCB2" w:rsidR="005E00FF" w:rsidRDefault="002B53DA" w:rsidP="00EA3561">
      <w:pPr>
        <w:pStyle w:val="Levels1-3-OneParagraphUnderHeading"/>
      </w:pPr>
      <w:r w:rsidRPr="002B53DA">
        <w:t xml:space="preserve">Risk factors of 1.0 </w:t>
      </w:r>
      <w:r w:rsidR="00CB4DC6">
        <w:t xml:space="preserve">/ </w:t>
      </w:r>
      <w:r w:rsidR="00FB34DE">
        <w:t>HL</w:t>
      </w:r>
      <w:r w:rsidRPr="002B53DA">
        <w:t xml:space="preserve"> 3 events in</w:t>
      </w:r>
      <w:r w:rsidR="00CB4DC6">
        <w:t xml:space="preserve"> every</w:t>
      </w:r>
      <w:r w:rsidRPr="002B53DA">
        <w:t xml:space="preserve"> 100 million </w:t>
      </w:r>
      <w:r w:rsidR="00967A58">
        <w:t>airplane</w:t>
      </w:r>
      <w:r w:rsidR="00967A58" w:rsidRPr="002B53DA">
        <w:t xml:space="preserve"> </w:t>
      </w:r>
      <w:r w:rsidRPr="002B53DA">
        <w:t xml:space="preserve">flights </w:t>
      </w:r>
      <w:r w:rsidR="00CB4DC6">
        <w:t>(</w:t>
      </w:r>
      <w:r w:rsidRPr="002B53DA">
        <w:t>1x10</w:t>
      </w:r>
      <w:r w:rsidRPr="00B24B42">
        <w:rPr>
          <w:vertAlign w:val="superscript"/>
        </w:rPr>
        <w:t>-8</w:t>
      </w:r>
      <w:r w:rsidR="00CB4DC6">
        <w:rPr>
          <w:vertAlign w:val="superscript"/>
        </w:rPr>
        <w:t>)</w:t>
      </w:r>
      <w:r w:rsidRPr="002B53DA">
        <w:t xml:space="preserve"> meet the long-term acceptable risk guidelines</w:t>
      </w:r>
      <w:r w:rsidR="00E04667">
        <w:t xml:space="preserve"> </w:t>
      </w:r>
      <w:r w:rsidRPr="002B53DA">
        <w:t>assum</w:t>
      </w:r>
      <w:r w:rsidR="00E04667">
        <w:t>ing</w:t>
      </w:r>
      <w:r w:rsidRPr="002B53DA">
        <w:t xml:space="preserve"> no other aspects of the original basis of certification have been violated.</w:t>
      </w:r>
      <w:r w:rsidR="00E442E7">
        <w:t xml:space="preserve"> </w:t>
      </w:r>
      <w:r w:rsidRPr="002B53DA">
        <w:t>The equivalent value for</w:t>
      </w:r>
      <w:r w:rsidR="00D66297">
        <w:t xml:space="preserve"> </w:t>
      </w:r>
      <w:r w:rsidR="00FB34DE">
        <w:t>HL</w:t>
      </w:r>
      <w:r w:rsidRPr="002B53DA">
        <w:t xml:space="preserve"> 4 events is </w:t>
      </w:r>
      <w:r w:rsidR="00B95FB9">
        <w:t>one</w:t>
      </w:r>
      <w:r w:rsidR="00B95FB9" w:rsidRPr="002B53DA">
        <w:t xml:space="preserve"> </w:t>
      </w:r>
      <w:r w:rsidR="00CB4DC6">
        <w:t xml:space="preserve">event occurring </w:t>
      </w:r>
      <w:r w:rsidRPr="002B53DA">
        <w:t>in</w:t>
      </w:r>
      <w:r w:rsidR="00CB4DC6">
        <w:t xml:space="preserve"> every</w:t>
      </w:r>
      <w:r w:rsidRPr="002B53DA">
        <w:t xml:space="preserve"> </w:t>
      </w:r>
      <w:r w:rsidR="00CB4DC6">
        <w:t>1</w:t>
      </w:r>
      <w:r w:rsidRPr="002B53DA">
        <w:t xml:space="preserve"> billion flights</w:t>
      </w:r>
      <w:r w:rsidR="00285CC0">
        <w:t xml:space="preserve"> </w:t>
      </w:r>
      <w:r w:rsidR="00CB4DC6">
        <w:t>(</w:t>
      </w:r>
      <w:r w:rsidRPr="002B53DA">
        <w:t>1x10</w:t>
      </w:r>
      <w:r w:rsidRPr="00B24B42">
        <w:rPr>
          <w:vertAlign w:val="superscript"/>
        </w:rPr>
        <w:t>-9</w:t>
      </w:r>
      <w:r w:rsidR="00CB4DC6">
        <w:t>)</w:t>
      </w:r>
      <w:r w:rsidRPr="002B53DA">
        <w:t>.</w:t>
      </w:r>
    </w:p>
    <w:p w14:paraId="4C44F3AD" w14:textId="696C8DA6" w:rsidR="002B53DA" w:rsidRPr="002B53DA" w:rsidRDefault="005E00FF" w:rsidP="00B24B42">
      <w:pPr>
        <w:pStyle w:val="Levels1-3-Note"/>
      </w:pPr>
      <w:r>
        <w:t>T</w:t>
      </w:r>
      <w:r w:rsidR="002B53DA" w:rsidRPr="002B53DA">
        <w:t xml:space="preserve">he </w:t>
      </w:r>
      <w:r w:rsidR="00750FA4" w:rsidRPr="002B53DA">
        <w:t>long-term</w:t>
      </w:r>
      <w:r w:rsidR="002B53DA" w:rsidRPr="002B53DA">
        <w:t xml:space="preserve"> acceptable risk guideline for type certification may sometimes appear less restrictive.</w:t>
      </w:r>
      <w:r w:rsidR="00E442E7">
        <w:t xml:space="preserve"> </w:t>
      </w:r>
      <w:r w:rsidR="002B53DA" w:rsidRPr="002B53DA">
        <w:t xml:space="preserve">However, as noted earlier, certification and continued airworthiness assessments and guidelines are not </w:t>
      </w:r>
      <w:r w:rsidR="008C603D">
        <w:t xml:space="preserve">necessarily </w:t>
      </w:r>
      <w:r w:rsidR="002B53DA" w:rsidRPr="002B53DA">
        <w:t>equivalent.</w:t>
      </w:r>
      <w:r w:rsidR="00E442E7">
        <w:t xml:space="preserve"> </w:t>
      </w:r>
      <w:r w:rsidR="006A696F">
        <w:t xml:space="preserve">For example, the additional accuracy </w:t>
      </w:r>
      <w:r w:rsidR="00206CFB">
        <w:t xml:space="preserve">that could lead to less data uncertainty and better life </w:t>
      </w:r>
      <w:r w:rsidR="007818B0">
        <w:t>prediction</w:t>
      </w:r>
      <w:r w:rsidR="00206CFB">
        <w:t xml:space="preserve"> </w:t>
      </w:r>
      <w:r w:rsidR="006A696F" w:rsidRPr="00AD5D07">
        <w:t>potentially afforded to</w:t>
      </w:r>
      <w:r w:rsidR="006A696F">
        <w:t xml:space="preserve"> continued airworthiness assessments over certification assessments </w:t>
      </w:r>
      <w:r w:rsidR="00F1266E">
        <w:t xml:space="preserve">should </w:t>
      </w:r>
      <w:r w:rsidR="006A696F">
        <w:t>be compensated for within the guidelines.</w:t>
      </w:r>
    </w:p>
    <w:p w14:paraId="0C451FF9" w14:textId="77777777" w:rsidR="00637F7C" w:rsidRPr="00081836" w:rsidRDefault="00637F7C" w:rsidP="002B4B21">
      <w:pPr>
        <w:jc w:val="center"/>
      </w:pPr>
    </w:p>
    <w:p w14:paraId="52E84B0E" w14:textId="57C09B64" w:rsidR="00585CC3" w:rsidRDefault="00D5353F" w:rsidP="000855F2">
      <w:pPr>
        <w:pStyle w:val="Caption"/>
      </w:pPr>
      <w:r>
        <w:rPr>
          <w:noProof/>
        </w:rPr>
        <w:lastRenderedPageBreak/>
        <w:drawing>
          <wp:inline distT="0" distB="0" distL="0" distR="0" wp14:anchorId="69B32CA8" wp14:editId="13163DE6">
            <wp:extent cx="4553733" cy="3093057"/>
            <wp:effectExtent l="0" t="0" r="0" b="0"/>
            <wp:docPr id="4" name="Picture 4" descr="This is an image of a chart indicating a Level 3 Occurence Rate (events per flight) as it rates to the number of aircraft flights (expos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62405" cy="3098947"/>
                    </a:xfrm>
                    <a:prstGeom prst="rect">
                      <a:avLst/>
                    </a:prstGeom>
                    <a:noFill/>
                  </pic:spPr>
                </pic:pic>
              </a:graphicData>
            </a:graphic>
          </wp:inline>
        </w:drawing>
      </w:r>
    </w:p>
    <w:p w14:paraId="34942962" w14:textId="77777777" w:rsidR="008C4537" w:rsidRPr="00BC6E3B" w:rsidRDefault="008C4537" w:rsidP="000C29CC">
      <w:pPr>
        <w:jc w:val="center"/>
      </w:pPr>
      <w:r>
        <w:rPr>
          <w:noProof/>
        </w:rPr>
        <w:drawing>
          <wp:inline distT="0" distB="0" distL="0" distR="0" wp14:anchorId="3B2D9B95" wp14:editId="1D5D0DA4">
            <wp:extent cx="4553712" cy="3093043"/>
            <wp:effectExtent l="0" t="0" r="0" b="0"/>
            <wp:docPr id="8" name="Picture 8" descr="This is an image of a chart indicating a Level 4 Occurence Rate (events per flight) as it rates to the number of aircraft flights (expos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53712" cy="3093043"/>
                    </a:xfrm>
                    <a:prstGeom prst="rect">
                      <a:avLst/>
                    </a:prstGeom>
                    <a:noFill/>
                  </pic:spPr>
                </pic:pic>
              </a:graphicData>
            </a:graphic>
          </wp:inline>
        </w:drawing>
      </w:r>
    </w:p>
    <w:p w14:paraId="33047184" w14:textId="402C7435" w:rsidR="00585CC3" w:rsidRPr="00585CC3" w:rsidRDefault="002A588A" w:rsidP="000855F2">
      <w:pPr>
        <w:pStyle w:val="Caption"/>
      </w:pPr>
      <w:r w:rsidRPr="006E3478">
        <w:t xml:space="preserve">Figure </w:t>
      </w:r>
      <w:r w:rsidR="00BA3BC0" w:rsidRPr="006E3478">
        <w:t>1.</w:t>
      </w:r>
      <w:r w:rsidR="00E442E7">
        <w:t xml:space="preserve"> </w:t>
      </w:r>
      <w:r w:rsidR="00967A58">
        <w:t>Airplane</w:t>
      </w:r>
      <w:r w:rsidR="00967A58" w:rsidRPr="006E3478">
        <w:t xml:space="preserve"> </w:t>
      </w:r>
      <w:r w:rsidR="00BA3BC0" w:rsidRPr="006E3478">
        <w:t>Threat Comparison</w:t>
      </w:r>
    </w:p>
    <w:p w14:paraId="4C83916B" w14:textId="77777777" w:rsidR="002B53DA" w:rsidRDefault="00BA3BC0" w:rsidP="00BA3BC0">
      <w:pPr>
        <w:pStyle w:val="Heading1"/>
      </w:pPr>
      <w:r>
        <w:t>CORRECTED RISK.</w:t>
      </w:r>
    </w:p>
    <w:p w14:paraId="6E6EA61C" w14:textId="75ACCB91" w:rsidR="00BA3BC0" w:rsidRPr="00BA3BC0" w:rsidRDefault="00BA3BC0" w:rsidP="00BA3BC0">
      <w:pPr>
        <w:pStyle w:val="Levels1-3-OneParagraphUnderHeading"/>
      </w:pPr>
      <w:r>
        <w:t xml:space="preserve">The final goal in </w:t>
      </w:r>
      <w:r w:rsidR="00B45551">
        <w:t>address</w:t>
      </w:r>
      <w:r>
        <w:t>ing an unsafe condition is the development and implementation of corrective actions that, when fully incorporated, minimize the probability of future events to less than the long-term acceptable risk guidelines.</w:t>
      </w:r>
      <w:r w:rsidR="00E442E7">
        <w:t xml:space="preserve"> </w:t>
      </w:r>
      <w:r>
        <w:t>Interim measures, such as recurring inspections, are often effective in providing immediate risk reduction to a high-risk problem.</w:t>
      </w:r>
      <w:r w:rsidR="00E442E7">
        <w:t xml:space="preserve"> </w:t>
      </w:r>
      <w:r>
        <w:t xml:space="preserve">However, recurring inspections should not be relied on to serve as a </w:t>
      </w:r>
      <w:r>
        <w:lastRenderedPageBreak/>
        <w:t>final corrective action unless there is no practicable alternative.</w:t>
      </w:r>
      <w:r w:rsidR="00E442E7">
        <w:t xml:space="preserve"> </w:t>
      </w:r>
      <w:r>
        <w:t>If the interim measures minimize the probability of additional events to below the long-term guidelines, the incorporation of the final corrective actions can be delayed.</w:t>
      </w:r>
      <w:r w:rsidR="00E442E7">
        <w:t xml:space="preserve"> </w:t>
      </w:r>
      <w:r>
        <w:t>The completion of all actions to correct the unsafe condition should be done as soon as feasible and in accordance with the risk guidelines and principles.</w:t>
      </w:r>
      <w:r w:rsidR="00E442E7">
        <w:t xml:space="preserve"> </w:t>
      </w:r>
      <w:r>
        <w:t xml:space="preserve">The actions </w:t>
      </w:r>
      <w:r w:rsidR="00F1266E">
        <w:t xml:space="preserve">should </w:t>
      </w:r>
      <w:r>
        <w:t xml:space="preserve">return the product to the level of safety intended by that product's original </w:t>
      </w:r>
      <w:r w:rsidR="00D732AD">
        <w:t xml:space="preserve">basis </w:t>
      </w:r>
      <w:r>
        <w:t xml:space="preserve">of </w:t>
      </w:r>
      <w:r w:rsidR="00D732AD">
        <w:t>certification</w:t>
      </w:r>
      <w:r>
        <w:t>.</w:t>
      </w:r>
    </w:p>
    <w:p w14:paraId="25E7841F" w14:textId="77777777" w:rsidR="00BA3BC0" w:rsidRPr="0099285B" w:rsidRDefault="00BA3BC0" w:rsidP="0099285B">
      <w:pPr>
        <w:pStyle w:val="Heading1"/>
      </w:pPr>
      <w:r w:rsidRPr="0099285B">
        <w:t>CUMULATIVE RISK.</w:t>
      </w:r>
    </w:p>
    <w:p w14:paraId="3DC46E28" w14:textId="65E34EA6" w:rsidR="00BA3BC0" w:rsidRDefault="001109BA" w:rsidP="00BA3BC0">
      <w:pPr>
        <w:pStyle w:val="Heading2"/>
      </w:pPr>
      <w:r>
        <w:t xml:space="preserve">The </w:t>
      </w:r>
      <w:r w:rsidR="00F56AE4">
        <w:t>cumulative</w:t>
      </w:r>
      <w:r>
        <w:t xml:space="preserve"> risk of having several unsafe conditions being </w:t>
      </w:r>
      <w:r w:rsidR="00B3755B">
        <w:t>address</w:t>
      </w:r>
      <w:r>
        <w:t xml:space="preserve">ed concurrently on the same powerplant installation </w:t>
      </w:r>
      <w:r w:rsidR="00BA3BC0">
        <w:t xml:space="preserve">may represent an unacceptable risk level for that </w:t>
      </w:r>
      <w:r w:rsidR="00AB2BC2">
        <w:t>airplane</w:t>
      </w:r>
      <w:r w:rsidR="00EF2EC6">
        <w:t xml:space="preserve"> </w:t>
      </w:r>
      <w:r w:rsidR="00BA3BC0">
        <w:t>type, even if each taken individually does not.</w:t>
      </w:r>
      <w:r w:rsidR="00E442E7">
        <w:t xml:space="preserve"> </w:t>
      </w:r>
      <w:r w:rsidR="00BA3BC0">
        <w:t xml:space="preserve">Furthermore, repeated exposure to risk levels acceptable </w:t>
      </w:r>
      <w:r w:rsidR="00BA3BC0" w:rsidRPr="00B3755B">
        <w:t>against</w:t>
      </w:r>
      <w:r w:rsidR="00BA3BC0">
        <w:t xml:space="preserve"> any single unsafe condition could reasonably </w:t>
      </w:r>
      <w:r w:rsidR="000A4125">
        <w:t xml:space="preserve">be </w:t>
      </w:r>
      <w:r w:rsidR="00BA3BC0">
        <w:t xml:space="preserve">expected to result in an unacceptable risk of serious injury </w:t>
      </w:r>
      <w:r w:rsidR="007C67FC">
        <w:t>at some point</w:t>
      </w:r>
      <w:r w:rsidR="00BA3BC0">
        <w:t xml:space="preserve"> in the life of the worldwide transport </w:t>
      </w:r>
      <w:r w:rsidR="00B3755B">
        <w:t xml:space="preserve">airplane </w:t>
      </w:r>
      <w:r w:rsidR="00BA3BC0">
        <w:t>fleet with its various unsafe conditions.</w:t>
      </w:r>
      <w:r w:rsidR="00E442E7">
        <w:t xml:space="preserve"> </w:t>
      </w:r>
      <w:r w:rsidR="00E56A20">
        <w:t>T</w:t>
      </w:r>
      <w:r w:rsidR="00BA3BC0">
        <w:t xml:space="preserve">he </w:t>
      </w:r>
      <w:r w:rsidR="007F7B7C">
        <w:t>Poisson</w:t>
      </w:r>
      <w:r w:rsidR="003D6387">
        <w:t xml:space="preserve"> </w:t>
      </w:r>
      <w:r w:rsidR="00BA3BC0">
        <w:t>distribution explains the statistical variation associated with average prediction for rare events</w:t>
      </w:r>
      <w:r w:rsidR="00E56A20">
        <w:t>; see Figure 2</w:t>
      </w:r>
      <w:r w:rsidR="00BA3BC0">
        <w:t>.</w:t>
      </w:r>
      <w:r w:rsidR="00E442E7">
        <w:t xml:space="preserve"> </w:t>
      </w:r>
      <w:r w:rsidR="00BA3BC0">
        <w:t xml:space="preserve">The 0.1 risk factor guideline for </w:t>
      </w:r>
      <w:r w:rsidR="00FB34DE">
        <w:t>HL</w:t>
      </w:r>
      <w:r w:rsidR="00BA3BC0">
        <w:t xml:space="preserve"> 4 equates to a 9.5 percent probability of one or more </w:t>
      </w:r>
      <w:r w:rsidR="00FB34DE">
        <w:t>HL</w:t>
      </w:r>
      <w:r w:rsidR="00BA3BC0">
        <w:t xml:space="preserve"> 4 events.</w:t>
      </w:r>
      <w:r w:rsidR="00E442E7">
        <w:t xml:space="preserve"> </w:t>
      </w:r>
      <w:r w:rsidR="00BA3BC0">
        <w:t>If, during the life of a fleet, there are seven different malfunctions</w:t>
      </w:r>
      <w:r w:rsidR="00844FCC">
        <w:t>,</w:t>
      </w:r>
      <w:r w:rsidR="00BA3BC0">
        <w:t xml:space="preserve"> which are each managed to a</w:t>
      </w:r>
      <w:r w:rsidR="00A63B2D">
        <w:t>n</w:t>
      </w:r>
      <w:r w:rsidR="00BA3BC0">
        <w:t xml:space="preserve"> </w:t>
      </w:r>
      <w:r w:rsidR="00FB34DE">
        <w:t>HL</w:t>
      </w:r>
      <w:r w:rsidR="00BA3BC0">
        <w:t xml:space="preserve"> 4 risk factor of 0.1 events</w:t>
      </w:r>
      <w:r w:rsidR="00844FCC">
        <w:t>,</w:t>
      </w:r>
      <w:r w:rsidR="003F7F0C">
        <w:t xml:space="preserve"> equivalent to a</w:t>
      </w:r>
      <w:r w:rsidR="00844FCC">
        <w:t xml:space="preserve"> </w:t>
      </w:r>
      <w:r w:rsidR="00BA3BC0">
        <w:t xml:space="preserve">cumulative </w:t>
      </w:r>
      <w:r w:rsidR="00FB34DE">
        <w:t>HL</w:t>
      </w:r>
      <w:r w:rsidR="00BA3BC0">
        <w:t xml:space="preserve"> 4 forecast of 0.7 events, th</w:t>
      </w:r>
      <w:r w:rsidR="00F56AE4">
        <w:t>e</w:t>
      </w:r>
      <w:r w:rsidR="00BA3BC0">
        <w:t>n it is likely that a</w:t>
      </w:r>
      <w:r w:rsidR="00A63B2D">
        <w:t>n</w:t>
      </w:r>
      <w:r w:rsidR="00D66297">
        <w:t xml:space="preserve"> </w:t>
      </w:r>
      <w:r w:rsidR="00FB34DE">
        <w:t>HL</w:t>
      </w:r>
      <w:r w:rsidR="00BA3BC0">
        <w:t xml:space="preserve"> 4 event will occur at some point due to one of these malfunctions.</w:t>
      </w:r>
      <w:r w:rsidR="00E442E7">
        <w:t xml:space="preserve"> </w:t>
      </w:r>
      <w:r w:rsidR="00BA3BC0">
        <w:t xml:space="preserve">Additionally, for an event forecast of 0.7, there is a 16 percent probability of two or more events and a </w:t>
      </w:r>
      <w:r w:rsidR="00081836">
        <w:t xml:space="preserve">3 </w:t>
      </w:r>
      <w:r w:rsidR="00BA3BC0">
        <w:t xml:space="preserve">percent probability of </w:t>
      </w:r>
      <w:r w:rsidR="00081836">
        <w:t>three</w:t>
      </w:r>
      <w:r w:rsidR="00BA3BC0">
        <w:t xml:space="preserve"> or more events.</w:t>
      </w:r>
    </w:p>
    <w:p w14:paraId="33C2C6A7" w14:textId="77777777" w:rsidR="00BB754C" w:rsidRDefault="00BB754C" w:rsidP="000E5299">
      <w:pPr>
        <w:pStyle w:val="Heading2"/>
        <w:numPr>
          <w:ilvl w:val="0"/>
          <w:numId w:val="0"/>
        </w:numPr>
        <w:ind w:left="864"/>
      </w:pPr>
    </w:p>
    <w:p w14:paraId="524BD181" w14:textId="77777777" w:rsidR="00BA3BC0" w:rsidRDefault="00BA3BC0" w:rsidP="00BA3BC0">
      <w:pPr>
        <w:spacing w:line="360" w:lineRule="auto"/>
        <w:jc w:val="center"/>
        <w:rPr>
          <w:b/>
          <w:i/>
          <w:sz w:val="20"/>
        </w:rPr>
      </w:pPr>
      <w:r>
        <w:rPr>
          <w:b/>
          <w:i/>
          <w:noProof/>
          <w:sz w:val="20"/>
        </w:rPr>
        <w:drawing>
          <wp:inline distT="0" distB="0" distL="0" distR="0" wp14:anchorId="764CAE9E" wp14:editId="0CD32990">
            <wp:extent cx="4030980" cy="1957267"/>
            <wp:effectExtent l="19050" t="19050" r="26670" b="24130"/>
            <wp:docPr id="2" name="Picture 2" descr="This is an image of a chart depicting event probability versus expected number of failures (event forecast)."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8683" cy="1985285"/>
                    </a:xfrm>
                    <a:prstGeom prst="rect">
                      <a:avLst/>
                    </a:prstGeom>
                    <a:noFill/>
                    <a:ln w="9525" cmpd="sng">
                      <a:solidFill>
                        <a:srgbClr val="000000"/>
                      </a:solidFill>
                      <a:miter lim="800000"/>
                      <a:headEnd/>
                      <a:tailEnd/>
                    </a:ln>
                    <a:effectLst/>
                  </pic:spPr>
                </pic:pic>
              </a:graphicData>
            </a:graphic>
          </wp:inline>
        </w:drawing>
      </w:r>
    </w:p>
    <w:p w14:paraId="41B11DBA" w14:textId="5F16310E" w:rsidR="00BA3BC0" w:rsidRPr="002A588A" w:rsidRDefault="002A588A" w:rsidP="000855F2">
      <w:pPr>
        <w:pStyle w:val="Caption"/>
      </w:pPr>
      <w:r w:rsidRPr="002A588A">
        <w:t>F</w:t>
      </w:r>
      <w:r>
        <w:t>igure</w:t>
      </w:r>
      <w:r w:rsidRPr="002A588A">
        <w:t xml:space="preserve"> </w:t>
      </w:r>
      <w:r w:rsidR="00BA3BC0" w:rsidRPr="002A588A">
        <w:t>2.</w:t>
      </w:r>
      <w:r w:rsidR="00E442E7">
        <w:t xml:space="preserve"> </w:t>
      </w:r>
      <w:r w:rsidR="00BA3BC0" w:rsidRPr="002A588A">
        <w:t>Event Probability vs. Event Forecast (Risk Factor)</w:t>
      </w:r>
    </w:p>
    <w:p w14:paraId="42CE3692" w14:textId="54796B9F" w:rsidR="00BA3BC0" w:rsidRDefault="00BA3BC0" w:rsidP="00BA3BC0">
      <w:pPr>
        <w:pStyle w:val="Heading2"/>
      </w:pPr>
      <w:r>
        <w:t xml:space="preserve">It is neither expected </w:t>
      </w:r>
      <w:r w:rsidRPr="00E01BC9">
        <w:t>nor</w:t>
      </w:r>
      <w:r>
        <w:t xml:space="preserve"> required to calculate cumulative risk</w:t>
      </w:r>
      <w:r w:rsidR="00CF0EF3">
        <w:t>,</w:t>
      </w:r>
      <w:r>
        <w:t xml:space="preserve"> </w:t>
      </w:r>
      <w:r w:rsidRPr="00E01BC9">
        <w:t>nor</w:t>
      </w:r>
      <w:r>
        <w:t xml:space="preserve"> track cumulative risk across the life of the fleet.</w:t>
      </w:r>
      <w:bookmarkStart w:id="17" w:name="_Hlk127090667"/>
      <w:r w:rsidR="00E442E7">
        <w:t xml:space="preserve"> </w:t>
      </w:r>
      <w:r>
        <w:t>The intent of this section is only to provide recognition that acceptable risk levels should be regarded as upper limits</w:t>
      </w:r>
      <w:r w:rsidR="0000394B">
        <w:t>,</w:t>
      </w:r>
      <w:r>
        <w:t xml:space="preserve"> </w:t>
      </w:r>
      <w:r w:rsidR="0000394B">
        <w:t xml:space="preserve">and stakeholders </w:t>
      </w:r>
      <w:proofErr w:type="gramStart"/>
      <w:r w:rsidR="0000394B">
        <w:t xml:space="preserve">should </w:t>
      </w:r>
      <w:r>
        <w:t xml:space="preserve"> </w:t>
      </w:r>
      <w:r w:rsidR="00F87576">
        <w:t>reduce</w:t>
      </w:r>
      <w:proofErr w:type="gramEnd"/>
      <w:r w:rsidR="00F87576">
        <w:t xml:space="preserve"> </w:t>
      </w:r>
      <w:r>
        <w:t>the risk further w</w:t>
      </w:r>
      <w:r w:rsidR="0000394B">
        <w:t>hen possible</w:t>
      </w:r>
      <w:r>
        <w:t>.</w:t>
      </w:r>
      <w:bookmarkEnd w:id="17"/>
      <w:r w:rsidR="00E442E7">
        <w:t xml:space="preserve"> </w:t>
      </w:r>
      <w:r>
        <w:t>The goal of risk analysis is not to find the most lenient program possible within acceptable risk levels.</w:t>
      </w:r>
      <w:bookmarkStart w:id="18" w:name="_Hlk127090767"/>
      <w:r w:rsidR="00E442E7">
        <w:t xml:space="preserve"> </w:t>
      </w:r>
      <w:r>
        <w:t xml:space="preserve">The plot of risk factor versus </w:t>
      </w:r>
      <w:r w:rsidRPr="007C67FC">
        <w:t>impact on resources</w:t>
      </w:r>
      <w:r>
        <w:t xml:space="preserve"> follows an asymptotic relationship.</w:t>
      </w:r>
      <w:bookmarkEnd w:id="18"/>
      <w:r w:rsidR="00E442E7">
        <w:t xml:space="preserve"> </w:t>
      </w:r>
      <w:r>
        <w:t xml:space="preserve">This means that at some point, </w:t>
      </w:r>
      <w:r>
        <w:lastRenderedPageBreak/>
        <w:t>any additional reduction in risk comes only at great increase in the required resources.</w:t>
      </w:r>
      <w:r w:rsidR="00E442E7">
        <w:t xml:space="preserve"> </w:t>
      </w:r>
      <w:r>
        <w:t xml:space="preserve">This </w:t>
      </w:r>
      <w:proofErr w:type="gramStart"/>
      <w:r>
        <w:t>particular point</w:t>
      </w:r>
      <w:proofErr w:type="gramEnd"/>
      <w:r>
        <w:t xml:space="preserve"> varies from situation to situation.</w:t>
      </w:r>
      <w:bookmarkStart w:id="19" w:name="_Hlk127090869"/>
      <w:r w:rsidR="00E442E7">
        <w:t xml:space="preserve"> </w:t>
      </w:r>
      <w:r w:rsidRPr="00FE6302">
        <w:t xml:space="preserve">The </w:t>
      </w:r>
      <w:r w:rsidR="009D4B10">
        <w:t>stakeholders</w:t>
      </w:r>
      <w:r w:rsidR="00FE7A55">
        <w:t xml:space="preserve"> </w:t>
      </w:r>
      <w:r w:rsidRPr="00FE6302">
        <w:t>should decide if the reduction in risk warrants the additional burden against the available resources</w:t>
      </w:r>
      <w:bookmarkEnd w:id="19"/>
      <w:r>
        <w:t>.</w:t>
      </w:r>
      <w:r w:rsidR="00E442E7">
        <w:t xml:space="preserve"> </w:t>
      </w:r>
      <w:r>
        <w:t>Currently, no definitive standards exist for what is an acceptable cumulative risk.</w:t>
      </w:r>
      <w:r w:rsidR="00E442E7">
        <w:t xml:space="preserve"> </w:t>
      </w:r>
      <w:r>
        <w:t>Additionally, no definitive standards currently exist for where the balance should be struck between decreasing risk and increasing burden.</w:t>
      </w:r>
      <w:r w:rsidR="00E442E7">
        <w:t xml:space="preserve"> </w:t>
      </w:r>
      <w:r>
        <w:t>The</w:t>
      </w:r>
      <w:r w:rsidR="00A02AF4">
        <w:t xml:space="preserve">refore, </w:t>
      </w:r>
      <w:bookmarkStart w:id="20" w:name="_Hlk127091402"/>
      <w:r w:rsidR="00A02AF4">
        <w:t>the</w:t>
      </w:r>
      <w:r>
        <w:t xml:space="preserve"> FAA should judge what actions best serve the public interest on a </w:t>
      </w:r>
      <w:r w:rsidR="00A02AF4">
        <w:t>case-by-case</w:t>
      </w:r>
      <w:r>
        <w:t xml:space="preserve"> basis, </w:t>
      </w:r>
      <w:r w:rsidR="00D62D5B">
        <w:t>with the</w:t>
      </w:r>
      <w:r>
        <w:t xml:space="preserve"> appropriate allocation of resources.</w:t>
      </w:r>
      <w:bookmarkEnd w:id="20"/>
      <w:r w:rsidR="00E442E7">
        <w:t xml:space="preserve"> </w:t>
      </w:r>
      <w:r>
        <w:t xml:space="preserve">Since no guidelines have been developed </w:t>
      </w:r>
      <w:r w:rsidR="00F91A3E">
        <w:t xml:space="preserve">for </w:t>
      </w:r>
      <w:r>
        <w:t xml:space="preserve">cumulative risk, the guidelines published in this AC apply to individual unsafe conditions being addressed by a </w:t>
      </w:r>
      <w:r w:rsidRPr="005A77DD">
        <w:t>control program</w:t>
      </w:r>
      <w:r w:rsidR="006F4839">
        <w:t>.</w:t>
      </w:r>
      <w:r w:rsidR="00E442E7">
        <w:t xml:space="preserve"> </w:t>
      </w:r>
      <w:r w:rsidR="006F4839">
        <w:t>A</w:t>
      </w:r>
      <w:r>
        <w:t>lthough</w:t>
      </w:r>
      <w:r w:rsidR="00986FAD">
        <w:t>,</w:t>
      </w:r>
      <w:r>
        <w:t xml:space="preserve"> the individual unsafe condition may apply to several products.</w:t>
      </w:r>
    </w:p>
    <w:p w14:paraId="7C105C3F" w14:textId="77777777" w:rsidR="00BA3BC0" w:rsidRPr="00750FA4" w:rsidRDefault="00BA3BC0">
      <w:pPr>
        <w:pStyle w:val="Heading1"/>
      </w:pPr>
      <w:r w:rsidRPr="00750FA4">
        <w:t>LESSONS LEARNED.</w:t>
      </w:r>
    </w:p>
    <w:p w14:paraId="1AAFDB98" w14:textId="10F46549" w:rsidR="00BA3BC0" w:rsidRPr="00BA3BC0" w:rsidRDefault="00BA3BC0" w:rsidP="00BA3BC0">
      <w:pPr>
        <w:pStyle w:val="Levels1-3-OneParagraphUnderHeading"/>
      </w:pPr>
      <w:r>
        <w:t xml:space="preserve">Throughout the </w:t>
      </w:r>
      <w:r w:rsidR="007C67FC">
        <w:t xml:space="preserve">assessment </w:t>
      </w:r>
      <w:r>
        <w:t>process for any one potential unsafe condition</w:t>
      </w:r>
      <w:r w:rsidR="00A12993">
        <w:t>, t</w:t>
      </w:r>
      <w:r w:rsidR="00A12993" w:rsidRPr="00A12993">
        <w:t>he stakeholders should apply the experience gained and lessons learned to future certification</w:t>
      </w:r>
      <w:r w:rsidR="00750FA4">
        <w:t>,</w:t>
      </w:r>
      <w:r>
        <w:t xml:space="preserve"> including </w:t>
      </w:r>
      <w:r w:rsidR="00750FA4">
        <w:t xml:space="preserve">any </w:t>
      </w:r>
      <w:r>
        <w:t>regulatory action necessary and continued airworthiness monitoring processes.</w:t>
      </w:r>
      <w:r w:rsidR="00E442E7">
        <w:t xml:space="preserve"> </w:t>
      </w:r>
      <w:r>
        <w:t>This ensures continuous improvement in the effectiveness of the continued airworthiness assessment process for current products and improves the certification assessment process and instructions for continued airworthiness for new products.</w:t>
      </w:r>
      <w:r w:rsidR="00E442E7">
        <w:t xml:space="preserve"> </w:t>
      </w:r>
      <w:r>
        <w:t>Centralized accessible repositories for CAAM “lessons learned”</w:t>
      </w:r>
      <w:r w:rsidR="008F4630">
        <w:t xml:space="preserve"> </w:t>
      </w:r>
      <w:r>
        <w:t>are a valuable resource.</w:t>
      </w:r>
    </w:p>
    <w:p w14:paraId="67880FB0" w14:textId="77777777" w:rsidR="00BA3BC0" w:rsidRPr="00642157" w:rsidRDefault="00BA3BC0" w:rsidP="0099285B">
      <w:pPr>
        <w:pStyle w:val="Heading1"/>
        <w:numPr>
          <w:ilvl w:val="0"/>
          <w:numId w:val="7"/>
        </w:numPr>
      </w:pPr>
      <w:r w:rsidRPr="00750FA4">
        <w:t>ALTERNATIVE METHODS OF COMPLIANCE (AMOC).</w:t>
      </w:r>
    </w:p>
    <w:p w14:paraId="69CEB8FD" w14:textId="69DE9AB8" w:rsidR="00BA3BC0" w:rsidRDefault="00BA3BC0" w:rsidP="00BA3BC0">
      <w:pPr>
        <w:pStyle w:val="Levels1-3-OneParagraphUnderHeading"/>
      </w:pPr>
      <w:r>
        <w:t xml:space="preserve">The risk assessment process described in this AC can be used to help determine if a proposed AMOC </w:t>
      </w:r>
      <w:r w:rsidR="00B3755B">
        <w:t>provides</w:t>
      </w:r>
      <w:r>
        <w:t xml:space="preserve"> an </w:t>
      </w:r>
      <w:r w:rsidR="003479CA">
        <w:t>acceptable</w:t>
      </w:r>
      <w:r>
        <w:t xml:space="preserve"> level of safety.</w:t>
      </w:r>
      <w:r w:rsidR="00E442E7">
        <w:t xml:space="preserve"> </w:t>
      </w:r>
      <w:r w:rsidR="0026344A">
        <w:t xml:space="preserve">An </w:t>
      </w:r>
      <w:r>
        <w:t>AMOC should not result in an increase of the total risk assessed against the unsafe condition.</w:t>
      </w:r>
    </w:p>
    <w:p w14:paraId="3A9BAAE3" w14:textId="0374C729" w:rsidR="00BA3BC0" w:rsidRPr="00713104" w:rsidRDefault="003B0E54" w:rsidP="00713104">
      <w:pPr>
        <w:pStyle w:val="Heading1"/>
      </w:pPr>
      <w:r>
        <w:t xml:space="preserve">Airplane and engine </w:t>
      </w:r>
      <w:proofErr w:type="gramStart"/>
      <w:r w:rsidR="004916DA">
        <w:t>STAKEHOLDERS</w:t>
      </w:r>
      <w:proofErr w:type="gramEnd"/>
      <w:r w:rsidR="004916DA">
        <w:t xml:space="preserve"> </w:t>
      </w:r>
      <w:r w:rsidR="00BA3BC0" w:rsidRPr="00713104">
        <w:t>COORDINATION.</w:t>
      </w:r>
    </w:p>
    <w:p w14:paraId="00F78C4D" w14:textId="23C8602D" w:rsidR="00B07457" w:rsidRDefault="005A77DD" w:rsidP="00081836">
      <w:pPr>
        <w:pStyle w:val="Levels1-3-OneParagraphUnderHeading"/>
      </w:pPr>
      <w:r>
        <w:t>D</w:t>
      </w:r>
      <w:r w:rsidR="00BA3BC0">
        <w:t xml:space="preserve">ifferent risk management objectives may lead to differences of opinions between </w:t>
      </w:r>
      <w:r w:rsidR="004916DA">
        <w:t xml:space="preserve">stakeholders </w:t>
      </w:r>
      <w:r w:rsidR="00BA3BC0">
        <w:t>as to the appropriate actions to address identified unsafe conditions, or to the timing of those actions.</w:t>
      </w:r>
      <w:r w:rsidR="00E442E7">
        <w:t xml:space="preserve"> </w:t>
      </w:r>
      <w:r w:rsidR="001109BA">
        <w:t>With most unsafe conditions, there is</w:t>
      </w:r>
      <w:r w:rsidR="00BA3BC0">
        <w:t xml:space="preserve"> inter-involvement </w:t>
      </w:r>
      <w:r w:rsidR="003B0E54">
        <w:t>between</w:t>
      </w:r>
      <w:r w:rsidR="00BA3BC0">
        <w:t xml:space="preserve"> </w:t>
      </w:r>
      <w:r w:rsidR="00CC11A0">
        <w:t xml:space="preserve">the </w:t>
      </w:r>
      <w:r w:rsidR="004916DA">
        <w:t>airplane stakeholders, as well as between the engine stakeholders</w:t>
      </w:r>
      <w:r w:rsidR="001109BA">
        <w:t>.</w:t>
      </w:r>
      <w:r w:rsidR="00E442E7">
        <w:t xml:space="preserve"> </w:t>
      </w:r>
      <w:r w:rsidR="001109BA">
        <w:t>C</w:t>
      </w:r>
      <w:r w:rsidR="00BA3BC0">
        <w:t xml:space="preserve">lose coordination is recommended to resolve </w:t>
      </w:r>
      <w:r w:rsidR="001109BA">
        <w:t>any</w:t>
      </w:r>
      <w:r w:rsidR="00BA3BC0">
        <w:t xml:space="preserve"> differences</w:t>
      </w:r>
      <w:r w:rsidR="001109BA">
        <w:t xml:space="preserve"> that arise, especially those that are highly </w:t>
      </w:r>
      <w:proofErr w:type="gramStart"/>
      <w:r w:rsidR="001109BA">
        <w:t>installation-dependent</w:t>
      </w:r>
      <w:proofErr w:type="gramEnd"/>
      <w:r w:rsidR="00BA3BC0">
        <w:t>.</w:t>
      </w:r>
      <w:r w:rsidR="00E442E7">
        <w:t xml:space="preserve"> </w:t>
      </w:r>
      <w:r w:rsidR="00BA3BC0">
        <w:t xml:space="preserve">However, if these differences persist after coordination and discussion of the assumptions, available data and objectives, the final control program decisions rest with the </w:t>
      </w:r>
      <w:r w:rsidR="004916DA">
        <w:t xml:space="preserve">stakeholders </w:t>
      </w:r>
      <w:r w:rsidR="00BA3BC0">
        <w:t>with the most relevant specialized technical expertise.</w:t>
      </w:r>
      <w:r w:rsidR="00E442E7">
        <w:t xml:space="preserve"> </w:t>
      </w:r>
      <w:r w:rsidR="00BA3BC0">
        <w:t xml:space="preserve">This means, for unsafe conditions caused primarily by shortcomings within the engine type design, the </w:t>
      </w:r>
      <w:r w:rsidR="003B0E54">
        <w:t xml:space="preserve">engine </w:t>
      </w:r>
      <w:r w:rsidR="004916DA">
        <w:t>stakeholders are</w:t>
      </w:r>
      <w:r w:rsidR="00BA3BC0">
        <w:t xml:space="preserve"> responsible for making the final control program decisions.</w:t>
      </w:r>
      <w:r w:rsidR="00E442E7">
        <w:t xml:space="preserve"> </w:t>
      </w:r>
      <w:r w:rsidR="00BA3BC0">
        <w:t xml:space="preserve">In cases of significant installation-dependency of an engine-related unsafe condition, special care should be taken to address any installation concerns raised by the </w:t>
      </w:r>
      <w:r w:rsidR="004916DA">
        <w:t>airplane stakeholders</w:t>
      </w:r>
      <w:r w:rsidR="00BA3BC0">
        <w:t>.</w:t>
      </w:r>
      <w:r w:rsidR="00E442E7">
        <w:t xml:space="preserve"> </w:t>
      </w:r>
      <w:r w:rsidR="00BA3BC0">
        <w:t xml:space="preserve">For unsafe conditions that are caused primarily by shortcomings in the </w:t>
      </w:r>
      <w:r w:rsidR="00AB2BC2">
        <w:t>airplane</w:t>
      </w:r>
      <w:r w:rsidR="00EF2EC6">
        <w:t xml:space="preserve"> </w:t>
      </w:r>
      <w:r w:rsidR="00BA3BC0">
        <w:t xml:space="preserve">type design, exclusive of the engine type design, the </w:t>
      </w:r>
      <w:r w:rsidR="003B0E54">
        <w:t xml:space="preserve">airplane </w:t>
      </w:r>
      <w:r w:rsidR="004916DA">
        <w:t>stakeholders are</w:t>
      </w:r>
      <w:r w:rsidR="00BA3BC0">
        <w:t xml:space="preserve"> responsible for making the final control program </w:t>
      </w:r>
      <w:r w:rsidR="00BA3BC0">
        <w:lastRenderedPageBreak/>
        <w:t>decisions.</w:t>
      </w:r>
      <w:r w:rsidR="00E442E7">
        <w:t xml:space="preserve"> </w:t>
      </w:r>
      <w:r w:rsidR="001109BA">
        <w:t>All</w:t>
      </w:r>
      <w:r w:rsidR="00CC11A0">
        <w:t xml:space="preserve"> </w:t>
      </w:r>
      <w:r w:rsidR="00C64EA7">
        <w:t xml:space="preserve">stakeholders </w:t>
      </w:r>
      <w:r w:rsidR="00F1266E">
        <w:t xml:space="preserve">should </w:t>
      </w:r>
      <w:r w:rsidR="00CC11A0">
        <w:t>respect t</w:t>
      </w:r>
      <w:r w:rsidR="00BA3BC0">
        <w:t>h</w:t>
      </w:r>
      <w:r w:rsidR="00CC11A0">
        <w:t>eir</w:t>
      </w:r>
      <w:r w:rsidR="00BA3BC0">
        <w:t xml:space="preserve"> primary responsibility and any tendency towards writing competing ADs against the same unsafe condition </w:t>
      </w:r>
      <w:r w:rsidR="00F1266E">
        <w:t xml:space="preserve">should </w:t>
      </w:r>
      <w:r w:rsidR="00BA3BC0">
        <w:t>be avoided.</w:t>
      </w:r>
    </w:p>
    <w:p w14:paraId="4264BDBF" w14:textId="77777777" w:rsidR="000758AD" w:rsidRPr="00081836" w:rsidRDefault="000758AD" w:rsidP="00081836">
      <w:pPr>
        <w:pStyle w:val="Levels1-3-OneParagraphUnderHeading"/>
      </w:pPr>
    </w:p>
    <w:p w14:paraId="2DD02E84" w14:textId="77777777" w:rsidR="000830CA" w:rsidRDefault="00CC11A0" w:rsidP="008777FC">
      <w:pPr>
        <w:pStyle w:val="Levels1Cover"/>
        <w:ind w:left="900"/>
        <w:jc w:val="center"/>
        <w:sectPr w:rsidR="000830CA" w:rsidSect="009C2E13">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446" w:gutter="0"/>
          <w:pgNumType w:start="1"/>
          <w:cols w:space="720"/>
          <w:titlePg/>
          <w:docGrid w:linePitch="326"/>
        </w:sectPr>
      </w:pPr>
      <w:r>
        <w:t>End</w:t>
      </w:r>
    </w:p>
    <w:p w14:paraId="26954789" w14:textId="77777777" w:rsidR="00BA3BC0" w:rsidRPr="00753200" w:rsidRDefault="00753200" w:rsidP="00753200">
      <w:pPr>
        <w:pStyle w:val="Heading6"/>
      </w:pPr>
      <w:bookmarkStart w:id="21" w:name="_Toc341273018"/>
      <w:bookmarkStart w:id="22" w:name="_Toc341276414"/>
      <w:bookmarkStart w:id="23" w:name="_Toc341277114"/>
      <w:bookmarkStart w:id="24" w:name="_Toc361414657"/>
      <w:bookmarkStart w:id="25" w:name="_Toc361414868"/>
      <w:bookmarkStart w:id="26" w:name="_Toc365372763"/>
      <w:bookmarkStart w:id="27" w:name="_Toc365373040"/>
      <w:bookmarkStart w:id="28" w:name="_Toc365649120"/>
      <w:bookmarkStart w:id="29" w:name="_Toc365649673"/>
      <w:bookmarkStart w:id="30" w:name="_Toc366162093"/>
      <w:bookmarkStart w:id="31" w:name="_Toc379451367"/>
      <w:bookmarkEnd w:id="0"/>
      <w:bookmarkEnd w:id="1"/>
      <w:bookmarkEnd w:id="2"/>
      <w:bookmarkEnd w:id="3"/>
      <w:bookmarkEnd w:id="4"/>
      <w:bookmarkEnd w:id="5"/>
      <w:bookmarkEnd w:id="6"/>
      <w:bookmarkEnd w:id="7"/>
      <w:bookmarkEnd w:id="8"/>
      <w:bookmarkEnd w:id="9"/>
      <w:bookmarkEnd w:id="10"/>
      <w:bookmarkEnd w:id="11"/>
      <w:bookmarkEnd w:id="12"/>
      <w:bookmarkEnd w:id="13"/>
      <w:bookmarkEnd w:id="21"/>
      <w:bookmarkEnd w:id="22"/>
      <w:bookmarkEnd w:id="23"/>
      <w:r w:rsidRPr="00753200">
        <w:lastRenderedPageBreak/>
        <w:t>Potential Unsafe Conditions</w:t>
      </w:r>
    </w:p>
    <w:p w14:paraId="47E6147B" w14:textId="77777777" w:rsidR="00F15ACB" w:rsidRDefault="00BA3BC0" w:rsidP="0091797C">
      <w:pPr>
        <w:pStyle w:val="Heading7"/>
        <w:tabs>
          <w:tab w:val="clear" w:pos="864"/>
        </w:tabs>
        <w:ind w:left="900" w:hanging="900"/>
      </w:pPr>
      <w:r>
        <w:t>PURPOSE.</w:t>
      </w:r>
    </w:p>
    <w:p w14:paraId="60AC97FC" w14:textId="3A908CC6" w:rsidR="00BA3BC0" w:rsidRPr="00BA3BC0" w:rsidRDefault="00BA3BC0" w:rsidP="00BA3BC0">
      <w:pPr>
        <w:pStyle w:val="Levels1-3-OneParagraphUnderHeading"/>
      </w:pPr>
      <w:r>
        <w:t>This appendix provide</w:t>
      </w:r>
      <w:r w:rsidR="00C655B9">
        <w:t>s</w:t>
      </w:r>
      <w:r>
        <w:t xml:space="preserve"> the user with an overview of potential unsafe conditions.</w:t>
      </w:r>
      <w:r w:rsidR="00E442E7">
        <w:t xml:space="preserve"> </w:t>
      </w:r>
      <w:r>
        <w:t>Issuance of an AD requires that an unsafe condition exist in a product and the condition is likely to exist or develop in other products of the same type design</w:t>
      </w:r>
      <w:r w:rsidR="002F7370">
        <w:t>, per 14</w:t>
      </w:r>
      <w:r w:rsidR="00C655B9">
        <w:t xml:space="preserve"> </w:t>
      </w:r>
      <w:r w:rsidR="002F7370">
        <w:t>CFR</w:t>
      </w:r>
      <w:r w:rsidR="003479CA">
        <w:t xml:space="preserve"> </w:t>
      </w:r>
      <w:r w:rsidR="00BB79A7">
        <w:t>section</w:t>
      </w:r>
      <w:r w:rsidR="002F7370">
        <w:t xml:space="preserve"> 39</w:t>
      </w:r>
      <w:r>
        <w:t>.</w:t>
      </w:r>
      <w:r w:rsidR="00BB79A7">
        <w:t>5.</w:t>
      </w:r>
      <w:r w:rsidR="00E442E7">
        <w:t xml:space="preserve"> </w:t>
      </w:r>
      <w:r>
        <w:t>This appendix presents guidance on potential unsafe conditions that may result from design, manufacturing, operational</w:t>
      </w:r>
      <w:r w:rsidR="00730787">
        <w:t>,</w:t>
      </w:r>
      <w:r>
        <w:t xml:space="preserve"> or maintenance deficiencies as well as unforeseen changes in operations or the operating environment</w:t>
      </w:r>
      <w:r w:rsidR="00CC11A0">
        <w:t>.</w:t>
      </w:r>
    </w:p>
    <w:p w14:paraId="584F8E90" w14:textId="77777777" w:rsidR="00F15ACB" w:rsidRDefault="00BA3BC0" w:rsidP="00BA3BC0">
      <w:pPr>
        <w:pStyle w:val="Heading7"/>
      </w:pPr>
      <w:bookmarkStart w:id="32" w:name="_Toc365372764"/>
      <w:bookmarkStart w:id="33" w:name="_Toc365373041"/>
      <w:bookmarkEnd w:id="24"/>
      <w:bookmarkEnd w:id="25"/>
      <w:bookmarkEnd w:id="26"/>
      <w:bookmarkEnd w:id="27"/>
      <w:bookmarkEnd w:id="28"/>
      <w:bookmarkEnd w:id="29"/>
      <w:bookmarkEnd w:id="30"/>
      <w:bookmarkEnd w:id="31"/>
      <w:r>
        <w:t>IDENTIFICATION OF POTENTIAL UNSAFE CONDITIONS.</w:t>
      </w:r>
      <w:bookmarkEnd w:id="32"/>
      <w:bookmarkEnd w:id="33"/>
    </w:p>
    <w:p w14:paraId="7F1D195A" w14:textId="2B63E395" w:rsidR="00BA3BC0" w:rsidRPr="00773524" w:rsidRDefault="00CC05A3" w:rsidP="00A471BF">
      <w:pPr>
        <w:pStyle w:val="Heading8"/>
      </w:pPr>
      <w:r>
        <w:t>T</w:t>
      </w:r>
      <w:r w:rsidRPr="00CC05A3">
        <w:t>he stakeholders can use at least three areas of information</w:t>
      </w:r>
      <w:r w:rsidR="00BA3EAA">
        <w:t xml:space="preserve"> </w:t>
      </w:r>
      <w:r w:rsidR="00BA3BC0" w:rsidRPr="00773524">
        <w:t>as a guide in identifying potential unsafe conditions.</w:t>
      </w:r>
      <w:r w:rsidR="00E442E7">
        <w:t xml:space="preserve"> </w:t>
      </w:r>
      <w:r w:rsidR="00BA3BC0" w:rsidRPr="00773524">
        <w:t xml:space="preserve">The </w:t>
      </w:r>
      <w:r w:rsidR="000D2620" w:rsidRPr="00773524">
        <w:t>first</w:t>
      </w:r>
      <w:r w:rsidR="00BA3BC0" w:rsidRPr="00773524">
        <w:t xml:space="preserve"> and most </w:t>
      </w:r>
      <w:r w:rsidR="000D2620" w:rsidRPr="00773524">
        <w:t>visible</w:t>
      </w:r>
      <w:r w:rsidR="00BA3BC0" w:rsidRPr="00773524">
        <w:t xml:space="preserve"> are the </w:t>
      </w:r>
      <w:r w:rsidR="00CC11A0" w:rsidRPr="00773524">
        <w:t>conditions, which</w:t>
      </w:r>
      <w:r w:rsidR="00BA3BC0" w:rsidRPr="00773524">
        <w:t xml:space="preserve"> alone or in combination with other contributing factors</w:t>
      </w:r>
      <w:r w:rsidR="00EC2562">
        <w:t>,</w:t>
      </w:r>
      <w:r w:rsidR="00BA3BC0" w:rsidRPr="00773524">
        <w:t xml:space="preserve"> have led to accidents.</w:t>
      </w:r>
      <w:r w:rsidR="00E442E7">
        <w:t xml:space="preserve"> </w:t>
      </w:r>
      <w:r w:rsidR="00BA3BC0" w:rsidRPr="00773524">
        <w:t>Such conditions or combinations have been demonstrated to be unsafe.</w:t>
      </w:r>
      <w:r w:rsidR="00E442E7">
        <w:t xml:space="preserve"> </w:t>
      </w:r>
      <w:r w:rsidR="00BA3BC0" w:rsidRPr="00773524">
        <w:t xml:space="preserve">The second includes conditions that have significantly increased the probability of, but not </w:t>
      </w:r>
      <w:r w:rsidR="00EC2562">
        <w:t xml:space="preserve">yet </w:t>
      </w:r>
      <w:r w:rsidR="00BA3BC0" w:rsidRPr="00773524">
        <w:t>directly caused, serious injuries.</w:t>
      </w:r>
      <w:r w:rsidR="00E442E7">
        <w:t xml:space="preserve"> </w:t>
      </w:r>
      <w:r w:rsidR="00BA3BC0" w:rsidRPr="00773524">
        <w:t>If such “contributing conditions” occur frequently enough, this too is an unsafe condition.</w:t>
      </w:r>
      <w:r w:rsidR="00E442E7">
        <w:t xml:space="preserve"> </w:t>
      </w:r>
      <w:r w:rsidR="00BA3BC0" w:rsidRPr="00773524">
        <w:t>The third area of information involves hazards identified as part of the product’s certification program.</w:t>
      </w:r>
      <w:r w:rsidR="00E442E7">
        <w:t xml:space="preserve"> </w:t>
      </w:r>
      <w:r w:rsidR="00BA3BC0" w:rsidRPr="00773524">
        <w:t xml:space="preserve">Indications that the </w:t>
      </w:r>
      <w:r w:rsidR="00DA0313">
        <w:t>field</w:t>
      </w:r>
      <w:r w:rsidR="00BA3BC0" w:rsidRPr="00773524">
        <w:t xml:space="preserve"> experience is worse than that allowed by the </w:t>
      </w:r>
      <w:r w:rsidR="004F240D">
        <w:t xml:space="preserve">design </w:t>
      </w:r>
      <w:r w:rsidR="00BA3BC0" w:rsidRPr="00773524">
        <w:t xml:space="preserve">standards may require mitigating action to return the product to the level of safety required by the </w:t>
      </w:r>
      <w:r w:rsidR="004F240D">
        <w:t xml:space="preserve">design </w:t>
      </w:r>
      <w:r w:rsidR="00BA3BC0" w:rsidRPr="00773524">
        <w:t>standards.</w:t>
      </w:r>
    </w:p>
    <w:p w14:paraId="1A62993E" w14:textId="10FA311F" w:rsidR="00BA3BC0" w:rsidRDefault="00BA3BC0" w:rsidP="00087AB0">
      <w:pPr>
        <w:pStyle w:val="Heading8"/>
      </w:pPr>
      <w:r>
        <w:t>It is normal for the achieved level of safety of a product to vary throughout the lifetime of the fleet.</w:t>
      </w:r>
      <w:r w:rsidR="00E442E7">
        <w:t xml:space="preserve"> </w:t>
      </w:r>
      <w:r>
        <w:t>This variation may result in some failure conditions occurring more frequently than permitted by initial certification requirements, in which case it is possible, but not necessarily the case, that an unsafe condition exists</w:t>
      </w:r>
      <w:r w:rsidR="00877A69">
        <w:t>.</w:t>
      </w:r>
      <w:r w:rsidR="00E442E7">
        <w:t xml:space="preserve"> </w:t>
      </w:r>
      <w:r>
        <w:t>Some assessment of the degree of risk is advisable if the failure condition rates significantly exceed those assumed or intended in the initial certification.</w:t>
      </w:r>
      <w:r w:rsidR="00E442E7">
        <w:t xml:space="preserve"> </w:t>
      </w:r>
      <w:r w:rsidR="00DE18CF">
        <w:t>If the risk to the airplane, passengers, or crew is much greater than permitted by initial certification standards, an unsafe condition is likely to exist.</w:t>
      </w:r>
    </w:p>
    <w:p w14:paraId="539DA9A0" w14:textId="619543FE" w:rsidR="00BA3BC0" w:rsidRDefault="00877A69" w:rsidP="00087AB0">
      <w:pPr>
        <w:pStyle w:val="Heading8"/>
      </w:pPr>
      <w:r>
        <w:t>I</w:t>
      </w:r>
      <w:r w:rsidR="00BA3BC0">
        <w:t xml:space="preserve">t would be unusual for an identified unsafe condition to be limited to a single </w:t>
      </w:r>
      <w:r w:rsidR="00AB2BC2">
        <w:t>airplane</w:t>
      </w:r>
      <w:r w:rsidR="00EF2EC6">
        <w:t xml:space="preserve"> </w:t>
      </w:r>
      <w:r w:rsidR="00BA3BC0">
        <w:t>or engine</w:t>
      </w:r>
      <w:r>
        <w:t xml:space="preserve"> because of the size and complexity of today’s worldwide air transportation system</w:t>
      </w:r>
      <w:r w:rsidR="00BA3BC0">
        <w:t>.</w:t>
      </w:r>
      <w:r w:rsidR="00E442E7">
        <w:t xml:space="preserve"> </w:t>
      </w:r>
      <w:r w:rsidR="00BA3BC0">
        <w:t>Examples of singular events where AD action would not be expected are those caused by gross negligence or rare meteorological phenomenon.</w:t>
      </w:r>
    </w:p>
    <w:p w14:paraId="6281519D" w14:textId="77777777" w:rsidR="00E90FAD" w:rsidRPr="00624022" w:rsidRDefault="00A10BC0" w:rsidP="005029A5">
      <w:pPr>
        <w:pStyle w:val="Heading8"/>
        <w:rPr>
          <w:rStyle w:val="Lead-in-Bold"/>
        </w:rPr>
      </w:pPr>
      <w:r w:rsidRPr="00624022">
        <w:rPr>
          <w:rStyle w:val="Lead-in-Bold"/>
        </w:rPr>
        <w:t xml:space="preserve">Conditions </w:t>
      </w:r>
      <w:r w:rsidR="004970E2" w:rsidRPr="00624022">
        <w:rPr>
          <w:rStyle w:val="Lead-in-Bold"/>
        </w:rPr>
        <w:t>S</w:t>
      </w:r>
      <w:r w:rsidRPr="00624022">
        <w:rPr>
          <w:rStyle w:val="Lead-in-Bold"/>
        </w:rPr>
        <w:t xml:space="preserve">pecified as </w:t>
      </w:r>
      <w:r w:rsidR="004970E2" w:rsidRPr="00624022">
        <w:rPr>
          <w:rStyle w:val="Lead-in-Bold"/>
        </w:rPr>
        <w:t>P</w:t>
      </w:r>
      <w:r w:rsidRPr="00624022">
        <w:rPr>
          <w:rStyle w:val="Lead-in-Bold"/>
        </w:rPr>
        <w:t xml:space="preserve">otentially </w:t>
      </w:r>
      <w:r w:rsidR="004970E2" w:rsidRPr="00624022">
        <w:rPr>
          <w:rStyle w:val="Lead-in-Bold"/>
        </w:rPr>
        <w:t>U</w:t>
      </w:r>
      <w:r w:rsidRPr="00624022">
        <w:rPr>
          <w:rStyle w:val="Lead-in-Bold"/>
        </w:rPr>
        <w:t>nsafe.</w:t>
      </w:r>
    </w:p>
    <w:p w14:paraId="1624E2DB" w14:textId="77777777" w:rsidR="00DB248F" w:rsidRDefault="00BA3BC0" w:rsidP="004970E2">
      <w:pPr>
        <w:pStyle w:val="Levels1-3-OneParagraphUnderHeading"/>
      </w:pPr>
      <w:r w:rsidRPr="00A10BC0">
        <w:t>For transport category airplanes, the FAA has defined certain specific conditions as potentially unsafe</w:t>
      </w:r>
      <w:r w:rsidR="002162A2" w:rsidRPr="00A10BC0">
        <w:t>,</w:t>
      </w:r>
      <w:r w:rsidRPr="00A10BC0">
        <w:t xml:space="preserve"> based upon previous service experience and rele</w:t>
      </w:r>
      <w:r w:rsidR="00773524" w:rsidRPr="00A10BC0">
        <w:t>vant certification assessments</w:t>
      </w:r>
      <w:r w:rsidR="003F26BE" w:rsidRPr="00A10BC0">
        <w:t>.</w:t>
      </w:r>
      <w:r w:rsidR="00DB248F">
        <w:br w:type="page"/>
      </w:r>
    </w:p>
    <w:p w14:paraId="201FB7D6" w14:textId="77777777" w:rsidR="00175E6B" w:rsidRPr="00A471BF" w:rsidRDefault="004970E2" w:rsidP="00087AB0">
      <w:pPr>
        <w:pStyle w:val="Heading9"/>
        <w:rPr>
          <w:rStyle w:val="Lead-in-Underlinenobold"/>
          <w:u w:val="none"/>
        </w:rPr>
      </w:pPr>
      <w:r>
        <w:rPr>
          <w:rStyle w:val="Lead-in-Underlinenobold"/>
        </w:rPr>
        <w:lastRenderedPageBreak/>
        <w:t>Historical P</w:t>
      </w:r>
      <w:r w:rsidR="00BA3BC0" w:rsidRPr="00773524">
        <w:rPr>
          <w:rStyle w:val="Lead-in-Underlinenobold"/>
        </w:rPr>
        <w:t xml:space="preserve">otentially </w:t>
      </w:r>
      <w:r>
        <w:rPr>
          <w:rStyle w:val="Lead-in-Underlinenobold"/>
        </w:rPr>
        <w:t>Unsafe C</w:t>
      </w:r>
      <w:r w:rsidR="00BA3BC0" w:rsidRPr="00773524">
        <w:rPr>
          <w:rStyle w:val="Lead-in-Underlinenobold"/>
        </w:rPr>
        <w:t>onditions.</w:t>
      </w:r>
    </w:p>
    <w:p w14:paraId="7BDC6322" w14:textId="24E0A37F" w:rsidR="00BF1E95" w:rsidRDefault="00BA3BC0" w:rsidP="00175E6B">
      <w:pPr>
        <w:pStyle w:val="Levels1-3-OneParagraphUnderHeading"/>
      </w:pPr>
      <w:r>
        <w:t xml:space="preserve">Appendix </w:t>
      </w:r>
      <w:r w:rsidR="00BD5EA7">
        <w:t>D</w:t>
      </w:r>
      <w:r>
        <w:t xml:space="preserve"> contains a list of </w:t>
      </w:r>
      <w:r w:rsidR="0098135E">
        <w:t xml:space="preserve">engine-related </w:t>
      </w:r>
      <w:r>
        <w:t>conditions considered potentially unsafe, along with hazard ratios</w:t>
      </w:r>
      <w:r w:rsidR="001A1E01">
        <w:t>.</w:t>
      </w:r>
      <w:r w:rsidR="00E442E7">
        <w:t xml:space="preserve"> </w:t>
      </w:r>
      <w:r>
        <w:t xml:space="preserve">Historical hazard ratio data is also </w:t>
      </w:r>
      <w:r w:rsidR="00E6174C">
        <w:t xml:space="preserve">provided </w:t>
      </w:r>
      <w:r>
        <w:t>for certain conditions in the CAAM Reports</w:t>
      </w:r>
      <w:r w:rsidR="00316749">
        <w:t>.</w:t>
      </w:r>
      <w:r w:rsidR="00E442E7">
        <w:t xml:space="preserve"> </w:t>
      </w:r>
      <w:r w:rsidR="00316749">
        <w:t xml:space="preserve">See references listed in </w:t>
      </w:r>
      <w:r>
        <w:t xml:space="preserve">paragraph </w:t>
      </w:r>
      <w:r w:rsidR="002E0EC0">
        <w:t>5</w:t>
      </w:r>
      <w:r w:rsidR="00316749">
        <w:t xml:space="preserve"> </w:t>
      </w:r>
      <w:r>
        <w:t>of this AC.</w:t>
      </w:r>
    </w:p>
    <w:p w14:paraId="50D3F9C0" w14:textId="77777777" w:rsidR="00175E6B" w:rsidRDefault="004970E2">
      <w:pPr>
        <w:pStyle w:val="Heading9"/>
      </w:pPr>
      <w:r>
        <w:rPr>
          <w:rStyle w:val="Lead-in-Underlinenobold"/>
        </w:rPr>
        <w:t>Potential Unsafe Conditions I</w:t>
      </w:r>
      <w:r w:rsidR="00BA3BC0" w:rsidRPr="00773524">
        <w:rPr>
          <w:rStyle w:val="Lead-in-Underlinenobold"/>
        </w:rPr>
        <w:t xml:space="preserve">dentified </w:t>
      </w:r>
      <w:r w:rsidR="003E0A3C">
        <w:rPr>
          <w:rStyle w:val="Lead-in-Underlinenobold"/>
        </w:rPr>
        <w:t>D</w:t>
      </w:r>
      <w:r w:rsidR="00BA3BC0" w:rsidRPr="00773524">
        <w:rPr>
          <w:rStyle w:val="Lead-in-Underlinenobold"/>
        </w:rPr>
        <w:t>u</w:t>
      </w:r>
      <w:r>
        <w:rPr>
          <w:rStyle w:val="Lead-in-Underlinenobold"/>
        </w:rPr>
        <w:t>ring Certification A</w:t>
      </w:r>
      <w:r w:rsidR="00BA3BC0" w:rsidRPr="00773524">
        <w:rPr>
          <w:rStyle w:val="Lead-in-Underlinenobold"/>
        </w:rPr>
        <w:t>ssessments</w:t>
      </w:r>
      <w:r w:rsidR="00BA3BC0" w:rsidRPr="00E93368">
        <w:rPr>
          <w:u w:val="single"/>
        </w:rPr>
        <w:t>.</w:t>
      </w:r>
    </w:p>
    <w:p w14:paraId="6F2111E4" w14:textId="7DB20148" w:rsidR="00BA3BC0" w:rsidRDefault="00BA3BC0" w:rsidP="00A471BF">
      <w:pPr>
        <w:pStyle w:val="Levels1-3-OneParagraphUnderHeading"/>
      </w:pPr>
      <w:r>
        <w:t>Certification assessments</w:t>
      </w:r>
      <w:r w:rsidR="00F91A3E">
        <w:t>,</w:t>
      </w:r>
      <w:r>
        <w:t xml:space="preserve"> </w:t>
      </w:r>
      <w:r w:rsidR="005E0DD2">
        <w:t>such as those performed under §</w:t>
      </w:r>
      <w:r w:rsidR="00F321D1">
        <w:t> </w:t>
      </w:r>
      <w:r w:rsidR="005E0DD2">
        <w:t>25.1309</w:t>
      </w:r>
      <w:r w:rsidR="00F91A3E">
        <w:t>,</w:t>
      </w:r>
      <w:r w:rsidR="005E0DD2">
        <w:t xml:space="preserve"> </w:t>
      </w:r>
      <w:r>
        <w:t xml:space="preserve">often identify and classify failure and operating conditions according to the severity of the impacts they are expected to have on the continued operational safety of the </w:t>
      </w:r>
      <w:r w:rsidR="00AB2BC2">
        <w:t>airplane</w:t>
      </w:r>
      <w:r>
        <w:t>.</w:t>
      </w:r>
      <w:r w:rsidR="00E442E7">
        <w:t xml:space="preserve"> </w:t>
      </w:r>
      <w:r>
        <w:t>Very severe conditions are assigned to categories such as “catastrophic</w:t>
      </w:r>
      <w:r w:rsidR="001A189D">
        <w:t>,</w:t>
      </w:r>
      <w:r>
        <w:t>” “preventing continued safe flight and landing</w:t>
      </w:r>
      <w:r w:rsidR="001A189D">
        <w:t>,</w:t>
      </w:r>
      <w:r>
        <w:t>” or “critical” because of their potential to cause serious injuries to multiple persons.</w:t>
      </w:r>
      <w:r w:rsidR="00E442E7">
        <w:t xml:space="preserve"> </w:t>
      </w:r>
      <w:r>
        <w:t xml:space="preserve">Severe conditions are assigned to categories such as “emergency” or “hazardous” because of their potential either </w:t>
      </w:r>
      <w:r w:rsidR="00C7734F">
        <w:t xml:space="preserve">to </w:t>
      </w:r>
      <w:r>
        <w:t>cause serious injuries to a limited number of persons or to impair the ability of the flight</w:t>
      </w:r>
      <w:r w:rsidR="00C7734F">
        <w:t xml:space="preserve"> </w:t>
      </w:r>
      <w:r>
        <w:t>crew to perform their tasks.</w:t>
      </w:r>
      <w:r w:rsidR="00E442E7">
        <w:t xml:space="preserve"> </w:t>
      </w:r>
      <w:r>
        <w:t xml:space="preserve">Therefore, the occurrence of any of these conditions in service </w:t>
      </w:r>
      <w:r w:rsidR="00BA3EAA">
        <w:t xml:space="preserve">is </w:t>
      </w:r>
      <w:r w:rsidR="00BA3EAA" w:rsidRPr="00EC2562">
        <w:t>potential</w:t>
      </w:r>
      <w:r w:rsidRPr="00EC2562">
        <w:t xml:space="preserve"> unsafe condition regardless of the actual outcome</w:t>
      </w:r>
      <w:r>
        <w:t>.</w:t>
      </w:r>
      <w:r w:rsidR="00E442E7">
        <w:t xml:space="preserve"> </w:t>
      </w:r>
      <w:r w:rsidR="00C7734F">
        <w:t>Conditions that are m</w:t>
      </w:r>
      <w:r>
        <w:t>ore moderate are assigned to categories such as “abnormal” or “major</w:t>
      </w:r>
      <w:r w:rsidR="001A189D">
        <w:t>.</w:t>
      </w:r>
      <w:r>
        <w:t>”</w:t>
      </w:r>
      <w:r w:rsidR="00E442E7">
        <w:t xml:space="preserve"> </w:t>
      </w:r>
      <w:r>
        <w:t>The occurrence of any moderate conditions in service at a high frequency may be considered a potential unsafe condition if a reasonable potential exists for it to contribute to a more serious event.</w:t>
      </w:r>
    </w:p>
    <w:p w14:paraId="62B83B2E" w14:textId="77777777" w:rsidR="00BA3BC0" w:rsidRPr="00642157" w:rsidRDefault="008802EE" w:rsidP="008802EE">
      <w:pPr>
        <w:pStyle w:val="Heading7"/>
      </w:pPr>
      <w:r w:rsidRPr="00642157">
        <w:t>CATEGORIES OF FAILURES</w:t>
      </w:r>
      <w:r w:rsidR="00D26D71">
        <w:t xml:space="preserve"> LEADING TO POTENTIAL UNSAFE CONDITIONS</w:t>
      </w:r>
      <w:r w:rsidRPr="00642157">
        <w:t>.</w:t>
      </w:r>
    </w:p>
    <w:p w14:paraId="50C34E85" w14:textId="77777777" w:rsidR="008802EE" w:rsidRPr="00BE4672" w:rsidRDefault="00BE4672" w:rsidP="00BE4672">
      <w:pPr>
        <w:pStyle w:val="Heading8"/>
        <w:rPr>
          <w:rStyle w:val="Lead-in-Bold"/>
        </w:rPr>
      </w:pPr>
      <w:r>
        <w:rPr>
          <w:rStyle w:val="Lead-in-Bold"/>
        </w:rPr>
        <w:t>Single F</w:t>
      </w:r>
      <w:r w:rsidR="008802EE" w:rsidRPr="00BE4672">
        <w:rPr>
          <w:rStyle w:val="Lead-in-Bold"/>
        </w:rPr>
        <w:t>ailures.</w:t>
      </w:r>
    </w:p>
    <w:p w14:paraId="6FA812FD" w14:textId="1EC5B695" w:rsidR="00DB248F" w:rsidRDefault="00D4388E" w:rsidP="00BE4672">
      <w:pPr>
        <w:pStyle w:val="Levels1-3-OneParagraphUnderHeading"/>
      </w:pPr>
      <w:r>
        <w:t xml:space="preserve">Multiple </w:t>
      </w:r>
      <w:r w:rsidR="00EC2562">
        <w:t xml:space="preserve">FAA </w:t>
      </w:r>
      <w:r w:rsidR="008802EE">
        <w:t>regulations limit the severity and frequency of single failures</w:t>
      </w:r>
      <w:r>
        <w:t xml:space="preserve">, such as </w:t>
      </w:r>
      <w:r w:rsidR="00201E1B">
        <w:t>14 CFR §</w:t>
      </w:r>
      <w:r>
        <w:t>§</w:t>
      </w:r>
      <w:r w:rsidR="00FB34DE">
        <w:t> </w:t>
      </w:r>
      <w:r>
        <w:t>33.75</w:t>
      </w:r>
      <w:r w:rsidR="00F64976">
        <w:t>(a)(3)</w:t>
      </w:r>
      <w:r>
        <w:t>, 25.901</w:t>
      </w:r>
      <w:r w:rsidR="00F64976">
        <w:t>(c)</w:t>
      </w:r>
      <w:r>
        <w:t>, and 25.1309</w:t>
      </w:r>
      <w:r w:rsidR="00F64976">
        <w:t>(b)(1)</w:t>
      </w:r>
      <w:r w:rsidR="008802EE">
        <w:t>.</w:t>
      </w:r>
      <w:r w:rsidR="00E442E7">
        <w:t xml:space="preserve"> </w:t>
      </w:r>
      <w:r w:rsidR="008802EE" w:rsidRPr="0056046B">
        <w:t>Single failures that could result in a serious injury but are not expected to result in serious injuries to multiple persons are allowed by the</w:t>
      </w:r>
      <w:r w:rsidR="007B652A" w:rsidRPr="0056046B">
        <w:t>se</w:t>
      </w:r>
      <w:r w:rsidR="008802EE" w:rsidRPr="0056046B">
        <w:t xml:space="preserve"> regulations </w:t>
      </w:r>
      <w:r w:rsidR="008802EE">
        <w:t>provided the frequency of occurrence is sufficiently low.</w:t>
      </w:r>
      <w:r w:rsidR="00E442E7">
        <w:t xml:space="preserve"> </w:t>
      </w:r>
      <w:r w:rsidR="007B652A">
        <w:t>P</w:t>
      </w:r>
      <w:r w:rsidR="008802EE">
        <w:t>rohibition of certain single failures is currently impracticable.</w:t>
      </w:r>
      <w:r w:rsidR="00E442E7">
        <w:t xml:space="preserve"> </w:t>
      </w:r>
      <w:r w:rsidR="008802EE">
        <w:t xml:space="preserve">These include uncontained engine rotor failure, engine case burst, engine case </w:t>
      </w:r>
      <w:proofErr w:type="spellStart"/>
      <w:r w:rsidR="008802EE">
        <w:t>burnthrough</w:t>
      </w:r>
      <w:proofErr w:type="spellEnd"/>
      <w:r w:rsidR="008802EE">
        <w:t>, and propeller separations.</w:t>
      </w:r>
      <w:r w:rsidR="00E442E7">
        <w:t xml:space="preserve"> </w:t>
      </w:r>
      <w:r w:rsidR="008802EE">
        <w:t>For these noted exceptions, regulations</w:t>
      </w:r>
      <w:r w:rsidR="007B652A">
        <w:t xml:space="preserve"> such as §</w:t>
      </w:r>
      <w:r w:rsidR="00B418BF">
        <w:t> </w:t>
      </w:r>
      <w:r w:rsidR="007B652A">
        <w:t>25.903(d)(1)</w:t>
      </w:r>
      <w:r w:rsidR="008802EE">
        <w:t xml:space="preserve"> require that the hazards be minimized.</w:t>
      </w:r>
      <w:r w:rsidR="00E442E7">
        <w:t xml:space="preserve"> </w:t>
      </w:r>
      <w:r w:rsidR="008802EE">
        <w:t xml:space="preserve">When these failures or their precursors occur (e.g., a flaw is detected in a disk before the disk </w:t>
      </w:r>
      <w:proofErr w:type="gramStart"/>
      <w:r w:rsidR="008802EE">
        <w:t>actually fails</w:t>
      </w:r>
      <w:proofErr w:type="gramEnd"/>
      <w:r w:rsidR="008802EE">
        <w:t xml:space="preserve">), </w:t>
      </w:r>
      <w:r w:rsidR="003C6DDD" w:rsidRPr="003C6DDD">
        <w:t>the stakeholder will carefully review the design of the component or engine</w:t>
      </w:r>
      <w:r w:rsidR="008802EE">
        <w:t xml:space="preserve"> to determine cause and appropriate action is developed, as necessary, to ensure that the occurrence of </w:t>
      </w:r>
      <w:proofErr w:type="gramStart"/>
      <w:r w:rsidR="008802EE">
        <w:t>similar future</w:t>
      </w:r>
      <w:proofErr w:type="gramEnd"/>
      <w:r w:rsidR="008802EE">
        <w:t xml:space="preserve"> events is minimized.</w:t>
      </w:r>
      <w:r w:rsidR="00E442E7">
        <w:t xml:space="preserve"> </w:t>
      </w:r>
      <w:r w:rsidR="008802EE">
        <w:t>The results of the investigation may require AD action to implement more effective monitoring or improved component inspections, shorter component life limits, improved maintenance procedures, or other means to minimize a reoccurrence.</w:t>
      </w:r>
      <w:r w:rsidR="00E442E7">
        <w:t xml:space="preserve"> </w:t>
      </w:r>
      <w:r w:rsidR="008802EE">
        <w:t xml:space="preserve">In addition, </w:t>
      </w:r>
      <w:r w:rsidR="00681E39" w:rsidRPr="00681E39">
        <w:t>the stakeholder reviews the design of the airplane</w:t>
      </w:r>
      <w:r w:rsidR="00681E39" w:rsidRPr="00681E39" w:rsidDel="00681E39">
        <w:t xml:space="preserve"> </w:t>
      </w:r>
      <w:r w:rsidR="008802EE">
        <w:t xml:space="preserve">to ensure that the design covers the likelihood that these failures may continue to </w:t>
      </w:r>
      <w:r w:rsidR="000709A9">
        <w:t>occur,</w:t>
      </w:r>
      <w:r w:rsidR="008802EE">
        <w:t xml:space="preserve"> and the installation incorporates design considerations to minimize the impact of these failures on the airplane.</w:t>
      </w:r>
      <w:r w:rsidR="00DB248F">
        <w:br w:type="page"/>
      </w:r>
    </w:p>
    <w:p w14:paraId="1DED697A" w14:textId="77777777" w:rsidR="008802EE" w:rsidRPr="00175E6B" w:rsidRDefault="008802EE" w:rsidP="00175E6B">
      <w:pPr>
        <w:pStyle w:val="Heading8"/>
        <w:rPr>
          <w:rStyle w:val="Lead-in-Bold"/>
        </w:rPr>
      </w:pPr>
      <w:r w:rsidRPr="00175E6B">
        <w:rPr>
          <w:rStyle w:val="Lead-in-Bold"/>
        </w:rPr>
        <w:lastRenderedPageBreak/>
        <w:t xml:space="preserve">Latent </w:t>
      </w:r>
      <w:r w:rsidR="00BE4672" w:rsidRPr="00175E6B">
        <w:rPr>
          <w:rStyle w:val="Lead-in-Bold"/>
        </w:rPr>
        <w:t>F</w:t>
      </w:r>
      <w:r w:rsidRPr="00175E6B">
        <w:rPr>
          <w:rStyle w:val="Lead-in-Bold"/>
        </w:rPr>
        <w:t>ailures.</w:t>
      </w:r>
    </w:p>
    <w:p w14:paraId="37F420A6" w14:textId="09B621E5" w:rsidR="008802EE" w:rsidRDefault="008802EE" w:rsidP="00BE4672">
      <w:pPr>
        <w:pStyle w:val="Levels1-3-OneParagraphUnderHeading"/>
      </w:pPr>
      <w:r>
        <w:t>Latent failures are failures that are unknown to the flight and maintenance crews.</w:t>
      </w:r>
      <w:r w:rsidR="00E442E7">
        <w:t xml:space="preserve"> </w:t>
      </w:r>
      <w:r>
        <w:t>Certification requirements</w:t>
      </w:r>
      <w:r w:rsidR="00D4388E">
        <w:t>, such as those contained in §</w:t>
      </w:r>
      <w:r w:rsidR="00201E1B">
        <w:t>§</w:t>
      </w:r>
      <w:r w:rsidR="009C2546">
        <w:t> </w:t>
      </w:r>
      <w:r w:rsidR="00D4388E">
        <w:t>33.75 and</w:t>
      </w:r>
      <w:r w:rsidR="00201E1B">
        <w:t xml:space="preserve"> </w:t>
      </w:r>
      <w:r w:rsidR="00D4388E">
        <w:t>25.1309,</w:t>
      </w:r>
      <w:r>
        <w:t xml:space="preserve"> assume that any expected latent failure, in combination with the next failure, under any operating and environmental conditions approved for the airplane, should not jeopardize continued safe flight and landing.</w:t>
      </w:r>
      <w:r w:rsidR="00E442E7">
        <w:t xml:space="preserve"> </w:t>
      </w:r>
      <w:r>
        <w:t>A simple example is undetected loss of fire containment in a fire zone.</w:t>
      </w:r>
      <w:r w:rsidR="00E442E7">
        <w:t xml:space="preserve"> </w:t>
      </w:r>
      <w:r>
        <w:t>If the next failure releases flammable fluid into the zone, a potentially catastrophic condition exists.</w:t>
      </w:r>
      <w:r w:rsidR="00E442E7">
        <w:t xml:space="preserve"> </w:t>
      </w:r>
      <w:r>
        <w:t xml:space="preserve">While the intent </w:t>
      </w:r>
      <w:r w:rsidR="00EC2562">
        <w:t xml:space="preserve">of the FAA’s regulations </w:t>
      </w:r>
      <w:r>
        <w:t xml:space="preserve">is </w:t>
      </w:r>
      <w:r w:rsidR="00BA3EAA">
        <w:t>such that</w:t>
      </w:r>
      <w:r>
        <w:t xml:space="preserve"> latent failure conditions</w:t>
      </w:r>
      <w:r w:rsidR="00D26D71">
        <w:t xml:space="preserve"> do</w:t>
      </w:r>
      <w:r>
        <w:t xml:space="preserve"> not exist, there are, as a practical matter, limitations on how frequently the operators can perform inspections on the powerplant and APU installations to note and correct such conditions.</w:t>
      </w:r>
      <w:r w:rsidR="00E442E7">
        <w:t xml:space="preserve"> </w:t>
      </w:r>
      <w:r>
        <w:t>This is particularly true when such inspections require some degree of disassembly or otherwise expose components to potential distress or human error.</w:t>
      </w:r>
      <w:r w:rsidR="00E442E7">
        <w:t xml:space="preserve"> </w:t>
      </w:r>
      <w:r w:rsidR="00416F6B">
        <w:t>A</w:t>
      </w:r>
      <w:r>
        <w:t>utomated monitoring and indication should be used to detect and annunciate failure conditions</w:t>
      </w:r>
      <w:r w:rsidR="00416F6B">
        <w:t xml:space="preserve"> when practical</w:t>
      </w:r>
      <w:r>
        <w:t>, especially when the next failure could lead to hazardous or catastrophic consequences.</w:t>
      </w:r>
      <w:r w:rsidR="00E442E7">
        <w:t xml:space="preserve"> </w:t>
      </w:r>
      <w:r>
        <w:t>The intent of the inspection is not so much to discover the latent failure, but, rather, to note the proper functioning of the equipment and any safe limits of deterioration so that the equipment can be replaced before any significant failure or malfunction occurs.</w:t>
      </w:r>
      <w:r w:rsidR="00E442E7">
        <w:t xml:space="preserve"> </w:t>
      </w:r>
      <w:r>
        <w:t xml:space="preserve">An additional concern </w:t>
      </w:r>
      <w:r w:rsidR="00C308C8">
        <w:t xml:space="preserve">is </w:t>
      </w:r>
      <w:r>
        <w:t>those latent failures which were either not anticipated at all or were expected to be detectable by either the flight or maintenance crews.</w:t>
      </w:r>
    </w:p>
    <w:p w14:paraId="2B95440B" w14:textId="77777777" w:rsidR="008802EE" w:rsidRDefault="00BE4672" w:rsidP="008802EE">
      <w:pPr>
        <w:pStyle w:val="Heading8"/>
        <w:rPr>
          <w:rStyle w:val="Lead-in-Bold"/>
        </w:rPr>
      </w:pPr>
      <w:r w:rsidRPr="00BE4672">
        <w:rPr>
          <w:rStyle w:val="Lead-in-Bold"/>
        </w:rPr>
        <w:t>Cascading Failures.</w:t>
      </w:r>
    </w:p>
    <w:p w14:paraId="18601544" w14:textId="3900349A" w:rsidR="00BE4672" w:rsidRPr="004970E2" w:rsidRDefault="00BE4672" w:rsidP="004970E2">
      <w:pPr>
        <w:pStyle w:val="Levels1-3-OneParagraphUnderHeading"/>
        <w:rPr>
          <w:b/>
          <w:szCs w:val="22"/>
        </w:rPr>
      </w:pPr>
      <w:r>
        <w:t>Cascading failures are those for which the probability of occurrence of a subsequent failure is substantially increased by the existence of a previous failure.</w:t>
      </w:r>
      <w:r w:rsidR="00E442E7">
        <w:t xml:space="preserve"> </w:t>
      </w:r>
      <w:r>
        <w:t>These types of failures are of particular concern because they can create interdependence between structural and system design elements that are intended or assumed to be independent or even unrelated.</w:t>
      </w:r>
      <w:r w:rsidR="00E442E7">
        <w:t xml:space="preserve"> </w:t>
      </w:r>
      <w:r>
        <w:t>This is especially true when the intended means of safely accommodating a failure is affected by that failure.</w:t>
      </w:r>
      <w:r w:rsidR="00E442E7">
        <w:t xml:space="preserve"> </w:t>
      </w:r>
      <w:r>
        <w:t>For example, in the structural design area, the failure of one load path should not result in loads that compromise the intended redundancy.</w:t>
      </w:r>
      <w:r w:rsidR="00E442E7">
        <w:t xml:space="preserve"> </w:t>
      </w:r>
      <w:r>
        <w:t xml:space="preserve">Another example is </w:t>
      </w:r>
      <w:r w:rsidR="006C4674">
        <w:t xml:space="preserve">that </w:t>
      </w:r>
      <w:r>
        <w:t>engine failures, such as fan blade failures, that result in a high vibration condition should not cause loss of the fuel shutoff function.</w:t>
      </w:r>
      <w:r w:rsidR="00E442E7">
        <w:t xml:space="preserve"> </w:t>
      </w:r>
      <w:r>
        <w:t>A cascading failure of this sort could lead to a hazardous or catastrophic condition.</w:t>
      </w:r>
      <w:r w:rsidR="00E442E7">
        <w:t xml:space="preserve"> </w:t>
      </w:r>
      <w:r>
        <w:t>Cascading failures in propulsion systems can sometimes be difficult to anticipate.</w:t>
      </w:r>
      <w:r w:rsidR="00E442E7">
        <w:t xml:space="preserve"> </w:t>
      </w:r>
      <w:r>
        <w:t xml:space="preserve">In transport </w:t>
      </w:r>
      <w:r w:rsidR="00967A58">
        <w:t>airplane</w:t>
      </w:r>
      <w:r w:rsidR="00884AF6">
        <w:t>s</w:t>
      </w:r>
      <w:r>
        <w:t>, failures in the systems of one engine are typically required</w:t>
      </w:r>
      <w:r w:rsidR="00570426">
        <w:t xml:space="preserve"> by §</w:t>
      </w:r>
      <w:r w:rsidR="009D4F99">
        <w:t> </w:t>
      </w:r>
      <w:r w:rsidR="00570426">
        <w:t>25.903(b)</w:t>
      </w:r>
      <w:r>
        <w:t xml:space="preserve"> to be independent of failures in the systems of another engine.</w:t>
      </w:r>
      <w:r w:rsidR="00E442E7">
        <w:t xml:space="preserve"> </w:t>
      </w:r>
      <w:r>
        <w:t>Furthermore, a system of one engine may need to be isolated from the effects of failures within another system of that same engine.</w:t>
      </w:r>
      <w:r w:rsidR="00E442E7">
        <w:t xml:space="preserve"> </w:t>
      </w:r>
      <w:r>
        <w:t>Engine systems areas where cascading failures are most likely to be of concern are the engine control systems and fuel systems.</w:t>
      </w:r>
    </w:p>
    <w:p w14:paraId="391C9F2E" w14:textId="77777777" w:rsidR="00BE4672" w:rsidRPr="00A63B2D" w:rsidRDefault="00BE4672" w:rsidP="00BE4672">
      <w:pPr>
        <w:pStyle w:val="Heading8"/>
        <w:rPr>
          <w:rStyle w:val="Lead-in-Bold"/>
        </w:rPr>
      </w:pPr>
      <w:r w:rsidRPr="004E35C7">
        <w:rPr>
          <w:rStyle w:val="Lead-in-Bold"/>
        </w:rPr>
        <w:t>Multiple Failures and Probability Estimates.</w:t>
      </w:r>
    </w:p>
    <w:p w14:paraId="1A137A82" w14:textId="795716DD" w:rsidR="00BE4672" w:rsidRPr="00BE4672" w:rsidRDefault="00BE4672" w:rsidP="00BE4672">
      <w:pPr>
        <w:pStyle w:val="Heading9"/>
      </w:pPr>
      <w:r w:rsidRPr="00BE4672">
        <w:t>In general, the powerplant and APU installations</w:t>
      </w:r>
      <w:r w:rsidR="00E87385">
        <w:t xml:space="preserve"> are designed to</w:t>
      </w:r>
      <w:r w:rsidRPr="00BE4672">
        <w:t xml:space="preserve"> be fail-safe.</w:t>
      </w:r>
      <w:r w:rsidR="00E442E7">
        <w:t xml:space="preserve"> </w:t>
      </w:r>
      <w:r w:rsidRPr="00BE4672">
        <w:t>That is, one assumes the</w:t>
      </w:r>
      <w:r w:rsidR="00057ACB">
        <w:t>ir</w:t>
      </w:r>
      <w:r w:rsidRPr="00BE4672">
        <w:t xml:space="preserve"> failure and then ensures the resulting failure condition does not jeopardize continued safe flight and landing.</w:t>
      </w:r>
      <w:r w:rsidR="00E442E7">
        <w:t xml:space="preserve"> </w:t>
      </w:r>
      <w:r w:rsidRPr="00BE4672">
        <w:t>For example, the shutdown of a single engine is assumed to be fail-safe</w:t>
      </w:r>
      <w:r w:rsidR="00F404A1">
        <w:t>,</w:t>
      </w:r>
      <w:r w:rsidRPr="00BE4672">
        <w:t xml:space="preserve"> since transport category airplanes have multiple engines and are certified to operate safely following the sudden failure of the most critical engine.</w:t>
      </w:r>
      <w:r w:rsidR="00E442E7">
        <w:t xml:space="preserve"> </w:t>
      </w:r>
      <w:r w:rsidRPr="00BE4672">
        <w:lastRenderedPageBreak/>
        <w:t>Though combinations of failure conditions leading to violation of the fail-safe assumption are possible, the consideration of such combinations should, as a practical matter, be limited to those conditions anticipated to occur within the fleet life of the airplane type.</w:t>
      </w:r>
      <w:r w:rsidR="00E442E7">
        <w:t xml:space="preserve"> </w:t>
      </w:r>
      <w:r w:rsidRPr="00BE4672">
        <w:t xml:space="preserve">To make such determinations, the safety </w:t>
      </w:r>
      <w:r w:rsidR="00537BFF">
        <w:t>analysis</w:t>
      </w:r>
      <w:r w:rsidR="00B06D32">
        <w:t xml:space="preserve"> </w:t>
      </w:r>
      <w:r w:rsidRPr="00BE4672">
        <w:t>methods associated with §</w:t>
      </w:r>
      <w:r w:rsidR="004E35C7">
        <w:t> </w:t>
      </w:r>
      <w:r w:rsidRPr="00BE4672">
        <w:t>25.1309(b)</w:t>
      </w:r>
      <w:r w:rsidR="00537BFF">
        <w:t xml:space="preserve"> and (d)</w:t>
      </w:r>
      <w:r w:rsidRPr="00BE4672">
        <w:t xml:space="preserve"> are often used.</w:t>
      </w:r>
      <w:r w:rsidR="00E442E7">
        <w:t xml:space="preserve"> </w:t>
      </w:r>
      <w:r w:rsidRPr="00BE4672">
        <w:t>Two examples of such situations are uncontrolled engine overspeed and an adverse frequency of engine shutdowns.</w:t>
      </w:r>
      <w:r w:rsidR="00E442E7">
        <w:t xml:space="preserve"> </w:t>
      </w:r>
      <w:r w:rsidR="009B7516" w:rsidRPr="009B7516">
        <w:t>The stakeholders usually agree</w:t>
      </w:r>
      <w:r w:rsidRPr="00BE4672">
        <w:t xml:space="preserve"> that the first of these is a potential unsafe condition because the engine may liberate parts that could hazard the </w:t>
      </w:r>
      <w:r w:rsidR="006508ED">
        <w:t>airplane</w:t>
      </w:r>
      <w:r w:rsidRPr="00BE4672">
        <w:t>.</w:t>
      </w:r>
      <w:r w:rsidR="00E442E7">
        <w:t xml:space="preserve"> </w:t>
      </w:r>
      <w:r w:rsidRPr="00BE4672">
        <w:t xml:space="preserve">For overspeed, the requirement </w:t>
      </w:r>
      <w:r w:rsidR="00FC3E5C">
        <w:t>of</w:t>
      </w:r>
      <w:r w:rsidR="005E0DD2">
        <w:t xml:space="preserve"> </w:t>
      </w:r>
      <w:r w:rsidR="00570426">
        <w:t>§</w:t>
      </w:r>
      <w:r w:rsidR="004E35C7">
        <w:t> </w:t>
      </w:r>
      <w:r w:rsidR="00570426">
        <w:t>33.28</w:t>
      </w:r>
      <w:r w:rsidR="005E0DD2">
        <w:t>(d)(3)</w:t>
      </w:r>
      <w:r w:rsidR="00570426">
        <w:t xml:space="preserve"> </w:t>
      </w:r>
      <w:r w:rsidRPr="00BE4672">
        <w:t xml:space="preserve">for engine control system certification is that no single failure </w:t>
      </w:r>
      <w:r w:rsidR="00537BFF">
        <w:t xml:space="preserve">can </w:t>
      </w:r>
      <w:r w:rsidRPr="00BE4672">
        <w:t xml:space="preserve">cause such a condition, and that the probability of such a condition being caused by multiple failures </w:t>
      </w:r>
      <w:r w:rsidR="00537BFF">
        <w:t xml:space="preserve">must </w:t>
      </w:r>
      <w:r w:rsidRPr="00BE4672">
        <w:t>be less than 10</w:t>
      </w:r>
      <w:r w:rsidRPr="00A471BF">
        <w:rPr>
          <w:vertAlign w:val="superscript"/>
        </w:rPr>
        <w:t>-8</w:t>
      </w:r>
      <w:r w:rsidRPr="00BE4672">
        <w:t xml:space="preserve"> per flight hour</w:t>
      </w:r>
      <w:r w:rsidR="00AD70A1">
        <w:t xml:space="preserve"> </w:t>
      </w:r>
      <w:r w:rsidR="00AB2BC2">
        <w:t>(</w:t>
      </w:r>
      <w:r w:rsidRPr="00BE4672">
        <w:t>extremely remote</w:t>
      </w:r>
      <w:r w:rsidR="00AB2BC2">
        <w:t>)</w:t>
      </w:r>
      <w:r w:rsidRPr="00BE4672">
        <w:t>.</w:t>
      </w:r>
    </w:p>
    <w:p w14:paraId="784F9C0C" w14:textId="56756105" w:rsidR="00BE4672" w:rsidRPr="00BE4672" w:rsidRDefault="00BE4672" w:rsidP="002F220B">
      <w:pPr>
        <w:pStyle w:val="Heading9"/>
      </w:pPr>
      <w:r w:rsidRPr="00BE4672">
        <w:t>The second example requires attention because it is recognized that if the engine shutdowns begin occurring at an abnormally high rate, from the same or different failure conditions, the likelihood of multiple independent engine failures should be addressed</w:t>
      </w:r>
      <w:r w:rsidR="00B11A7B">
        <w:t xml:space="preserve"> (</w:t>
      </w:r>
      <w:r w:rsidR="008C4537" w:rsidRPr="00B11A7B">
        <w:t xml:space="preserve">See paragraph </w:t>
      </w:r>
      <w:r w:rsidR="00BE3C42" w:rsidRPr="00B11A7B">
        <w:t>11.2</w:t>
      </w:r>
      <w:r w:rsidR="00B11A7B">
        <w:t>).</w:t>
      </w:r>
      <w:r w:rsidR="00E442E7">
        <w:t xml:space="preserve"> </w:t>
      </w:r>
      <w:r w:rsidRPr="00BE4672">
        <w:t>In any case, if an anticipated failure or malfunction can significantly affect the continued safe operation of more than one engine within a given flight, a potential</w:t>
      </w:r>
      <w:r w:rsidR="004E35C7">
        <w:t>ly</w:t>
      </w:r>
      <w:r w:rsidRPr="00BE4672">
        <w:t xml:space="preserve"> unsafe condition exists.</w:t>
      </w:r>
      <w:r w:rsidR="00E442E7">
        <w:t xml:space="preserve"> </w:t>
      </w:r>
      <w:r w:rsidRPr="00BE4672">
        <w:t xml:space="preserve">Typically, </w:t>
      </w:r>
      <w:r w:rsidRPr="002517E9">
        <w:t>business</w:t>
      </w:r>
      <w:r w:rsidRPr="00BE4672">
        <w:t xml:space="preserve"> decisions to provide engine reliability improvements provide adequate protection against </w:t>
      </w:r>
      <w:r w:rsidRPr="00B473D3">
        <w:t>excessive</w:t>
      </w:r>
      <w:r w:rsidRPr="00BE4672">
        <w:t xml:space="preserve"> IFSD rate concerns.</w:t>
      </w:r>
      <w:r w:rsidR="00E442E7">
        <w:t xml:space="preserve"> </w:t>
      </w:r>
      <w:r w:rsidRPr="00BE4672">
        <w:t xml:space="preserve">In addition, </w:t>
      </w:r>
      <w:r w:rsidR="00B70818" w:rsidRPr="00B70818">
        <w:t>the stakeholder should recognize</w:t>
      </w:r>
      <w:r w:rsidR="00B70818" w:rsidRPr="00B70818" w:rsidDel="00B70818">
        <w:t xml:space="preserve"> </w:t>
      </w:r>
      <w:r w:rsidR="00B70818">
        <w:t xml:space="preserve">that </w:t>
      </w:r>
      <w:r w:rsidRPr="00BE4672">
        <w:t>certain engine anomalies during critical flight regimes have, on occasion, resulted in accidents due to lack of recognition or appropriate response to a single engine failure, especially in cases of very startling or very subtle failures.</w:t>
      </w:r>
      <w:r w:rsidR="00E442E7">
        <w:t xml:space="preserve"> </w:t>
      </w:r>
      <w:r w:rsidRPr="00B473D3">
        <w:t xml:space="preserve">Excessive </w:t>
      </w:r>
      <w:r w:rsidRPr="00BE4672">
        <w:t>exposure to these events raises the possibility of an inappropriate response.</w:t>
      </w:r>
      <w:r w:rsidR="00E442E7">
        <w:t xml:space="preserve"> </w:t>
      </w:r>
      <w:r w:rsidR="00B70818" w:rsidRPr="00B70818">
        <w:t xml:space="preserve">The stakeholders should </w:t>
      </w:r>
      <w:r w:rsidR="00974C84">
        <w:t xml:space="preserve">address </w:t>
      </w:r>
      <w:r w:rsidR="00B70818" w:rsidRPr="00B70818">
        <w:t>the situations</w:t>
      </w:r>
      <w:r w:rsidR="00B70818" w:rsidRPr="00B70818" w:rsidDel="00B70818">
        <w:t xml:space="preserve"> </w:t>
      </w:r>
      <w:r w:rsidRPr="00BE4672">
        <w:t>where certification assumptions of appropriate responses, and the timing of those responses, have been repeatedly called into question.</w:t>
      </w:r>
    </w:p>
    <w:p w14:paraId="21227BDC" w14:textId="77777777" w:rsidR="00773524" w:rsidRPr="00773524" w:rsidRDefault="00BE4672" w:rsidP="00092FCE">
      <w:pPr>
        <w:pStyle w:val="Heading8"/>
        <w:tabs>
          <w:tab w:val="clear" w:pos="1584"/>
          <w:tab w:val="num" w:pos="900"/>
        </w:tabs>
        <w:ind w:left="810"/>
        <w:rPr>
          <w:rStyle w:val="Lead-in-Bold"/>
          <w:b w:val="0"/>
          <w:szCs w:val="20"/>
        </w:rPr>
      </w:pPr>
      <w:r w:rsidRPr="00BE4672">
        <w:rPr>
          <w:rStyle w:val="Lead-in-Bold"/>
        </w:rPr>
        <w:t>Common Cause Failures.</w:t>
      </w:r>
    </w:p>
    <w:p w14:paraId="42F6785E" w14:textId="0DE664F4" w:rsidR="000830CA" w:rsidRDefault="00AC6B0D" w:rsidP="000830CA">
      <w:pPr>
        <w:pStyle w:val="Levels1-3-OneParagraphUnderHeading"/>
        <w:sectPr w:rsidR="000830CA" w:rsidSect="00762534">
          <w:headerReference w:type="even" r:id="rId28"/>
          <w:headerReference w:type="default" r:id="rId29"/>
          <w:footerReference w:type="default" r:id="rId30"/>
          <w:headerReference w:type="first" r:id="rId31"/>
          <w:pgSz w:w="12240" w:h="15840"/>
          <w:pgMar w:top="1440" w:right="1350" w:bottom="990" w:left="1440" w:header="720" w:footer="590" w:gutter="0"/>
          <w:pgNumType w:start="1" w:chapStyle="6"/>
          <w:cols w:space="720"/>
          <w:docGrid w:linePitch="326"/>
        </w:sectPr>
      </w:pPr>
      <w:r>
        <w:t>“</w:t>
      </w:r>
      <w:r w:rsidR="00AF015C">
        <w:t>Common cause failures”</w:t>
      </w:r>
      <w:r w:rsidR="00BE4672">
        <w:t xml:space="preserve"> refers to multiple failures occurring due to the same event.</w:t>
      </w:r>
      <w:r w:rsidR="00E442E7">
        <w:t xml:space="preserve"> </w:t>
      </w:r>
      <w:r w:rsidR="00226FA4">
        <w:t>These types of failures</w:t>
      </w:r>
      <w:r w:rsidR="00BE4672">
        <w:t xml:space="preserve"> differ from “cascading failures” in that the multiple failures occur in parallel rather than in series.</w:t>
      </w:r>
      <w:r w:rsidR="00E442E7">
        <w:t xml:space="preserve"> </w:t>
      </w:r>
      <w:r w:rsidR="00BE4672">
        <w:t>That is, the same event causes each failure independently rather than the first failure causing the second, and so on.</w:t>
      </w:r>
      <w:r w:rsidR="00E442E7">
        <w:t xml:space="preserve"> </w:t>
      </w:r>
      <w:r w:rsidR="007A1D17">
        <w:t>E</w:t>
      </w:r>
      <w:r w:rsidR="00BE4672">
        <w:t>nvironmental conditions and human error</w:t>
      </w:r>
      <w:r w:rsidR="007A1D17">
        <w:t xml:space="preserve"> are examples of occurrences that can give rise to common cause failures</w:t>
      </w:r>
      <w:r w:rsidR="00BE4672">
        <w:t>.</w:t>
      </w:r>
      <w:r w:rsidR="00E442E7">
        <w:t xml:space="preserve"> </w:t>
      </w:r>
      <w:r w:rsidR="00BE4672">
        <w:t>Environmental factors include heavy rain and hail, icing, and bird or wildlife ingestion.</w:t>
      </w:r>
      <w:r w:rsidR="00E442E7">
        <w:t xml:space="preserve"> </w:t>
      </w:r>
      <w:r w:rsidR="00BE4672">
        <w:t>Human-caused common</w:t>
      </w:r>
      <w:r w:rsidR="00F447E7">
        <w:t xml:space="preserve"> cause</w:t>
      </w:r>
      <w:r w:rsidR="00BE4672">
        <w:t xml:space="preserve"> failures include fuel contamination or mismanagement, procedural deviations, and maintenance errors.</w:t>
      </w:r>
      <w:r w:rsidR="00E442E7">
        <w:t xml:space="preserve"> </w:t>
      </w:r>
      <w:r w:rsidR="00BE4672">
        <w:t xml:space="preserve">There are no regulations specifying that any engine-related maintenance </w:t>
      </w:r>
      <w:r w:rsidR="004E35C7">
        <w:t xml:space="preserve">is </w:t>
      </w:r>
      <w:r w:rsidR="00BE4672">
        <w:t>conducted on only one engine at a time</w:t>
      </w:r>
      <w:r w:rsidR="0086012C">
        <w:t xml:space="preserve">, </w:t>
      </w:r>
      <w:r w:rsidR="00A63B2D">
        <w:t>except for</w:t>
      </w:r>
      <w:r w:rsidR="0086012C">
        <w:t xml:space="preserve"> ETOPS maintenance requirements for some airplanes</w:t>
      </w:r>
      <w:r w:rsidR="00BE4672">
        <w:t>.</w:t>
      </w:r>
      <w:r w:rsidR="00E442E7">
        <w:t xml:space="preserve"> </w:t>
      </w:r>
      <w:r w:rsidR="00BE4672">
        <w:t xml:space="preserve">For example, </w:t>
      </w:r>
      <w:r w:rsidR="00A63B2D">
        <w:t>before</w:t>
      </w:r>
      <w:r w:rsidR="00BE4672">
        <w:t xml:space="preserve"> long flights, it is common to service engine oil in all engines</w:t>
      </w:r>
      <w:r w:rsidR="003027A3">
        <w:t xml:space="preserve"> on the same </w:t>
      </w:r>
      <w:r w:rsidR="006508ED">
        <w:t>airplane</w:t>
      </w:r>
      <w:r w:rsidR="00BE4672">
        <w:t>.</w:t>
      </w:r>
      <w:r w:rsidR="00E442E7">
        <w:t xml:space="preserve"> </w:t>
      </w:r>
      <w:r w:rsidR="00BE4672">
        <w:t xml:space="preserve">Some cases </w:t>
      </w:r>
      <w:r w:rsidR="00AF72E1">
        <w:t xml:space="preserve">of performing maintenance to multiple engines on the same </w:t>
      </w:r>
      <w:r w:rsidR="006508ED">
        <w:t>airplane</w:t>
      </w:r>
      <w:r w:rsidR="00AF72E1">
        <w:t xml:space="preserve"> </w:t>
      </w:r>
      <w:r w:rsidR="00BE4672">
        <w:t xml:space="preserve">are </w:t>
      </w:r>
      <w:r w:rsidR="009A211B">
        <w:t>likely</w:t>
      </w:r>
      <w:r w:rsidR="00BE4672">
        <w:t xml:space="preserve"> unavoidable.</w:t>
      </w:r>
      <w:r w:rsidR="00E442E7">
        <w:t xml:space="preserve"> </w:t>
      </w:r>
      <w:r w:rsidR="00BE4672">
        <w:t xml:space="preserve">However, </w:t>
      </w:r>
      <w:r w:rsidR="0096577B" w:rsidRPr="0096577B">
        <w:t>the stakeholder should recognize</w:t>
      </w:r>
      <w:r w:rsidR="0096577B" w:rsidRPr="0096577B" w:rsidDel="0096577B">
        <w:t xml:space="preserve"> </w:t>
      </w:r>
      <w:r w:rsidR="00BE4672">
        <w:t xml:space="preserve">that there are many instances </w:t>
      </w:r>
      <w:r w:rsidR="007A1D17">
        <w:t>(as documented</w:t>
      </w:r>
      <w:r w:rsidR="00AF72E1">
        <w:t xml:space="preserve"> in the CAAM reports</w:t>
      </w:r>
      <w:r w:rsidR="007A1D17">
        <w:t>)</w:t>
      </w:r>
      <w:r w:rsidR="00AF72E1">
        <w:t xml:space="preserve"> </w:t>
      </w:r>
      <w:r w:rsidR="00BE4672">
        <w:t>of multiple engine shutdown due to common cause maintenance error</w:t>
      </w:r>
      <w:r w:rsidR="008318BE">
        <w:t>, such as</w:t>
      </w:r>
      <w:r w:rsidR="00BE4672">
        <w:t xml:space="preserve"> chip detector reinstall</w:t>
      </w:r>
      <w:r w:rsidR="00D26D71">
        <w:t xml:space="preserve"> or</w:t>
      </w:r>
      <w:r w:rsidR="00BE4672">
        <w:t xml:space="preserve"> </w:t>
      </w:r>
      <w:r w:rsidR="00B06D32">
        <w:t>O-ring</w:t>
      </w:r>
      <w:r w:rsidR="00BE4672">
        <w:t xml:space="preserve"> removal</w:t>
      </w:r>
      <w:r w:rsidR="008318BE">
        <w:t>,</w:t>
      </w:r>
      <w:r w:rsidR="00D26D71">
        <w:t xml:space="preserve"> that </w:t>
      </w:r>
      <w:r w:rsidR="00BE4672">
        <w:t>le</w:t>
      </w:r>
      <w:r w:rsidR="00226FA4">
        <w:t>a</w:t>
      </w:r>
      <w:r w:rsidR="00BE4672">
        <w:t>d to unsafe conditions.</w:t>
      </w:r>
    </w:p>
    <w:p w14:paraId="04749900" w14:textId="77777777" w:rsidR="00BE4672" w:rsidRPr="00691382" w:rsidRDefault="00753200" w:rsidP="00762534">
      <w:pPr>
        <w:pStyle w:val="Heading6"/>
      </w:pPr>
      <w:r>
        <w:lastRenderedPageBreak/>
        <w:t>Hazard Level</w:t>
      </w:r>
      <w:r w:rsidR="00B473D3">
        <w:t xml:space="preserve"> </w:t>
      </w:r>
      <w:r w:rsidRPr="00691382">
        <w:t>Definitions</w:t>
      </w:r>
    </w:p>
    <w:p w14:paraId="081E493B" w14:textId="77777777" w:rsidR="00BE4672" w:rsidRDefault="00BE4672" w:rsidP="00BE4672">
      <w:pPr>
        <w:pStyle w:val="Heading7"/>
      </w:pPr>
      <w:r>
        <w:t>PURPOSE.</w:t>
      </w:r>
    </w:p>
    <w:p w14:paraId="0CEC00B4" w14:textId="1E167DFE" w:rsidR="00BE4672" w:rsidRDefault="00BE4672" w:rsidP="00BE4672">
      <w:pPr>
        <w:pStyle w:val="Levels1-3-OneParagraphUnderHeading"/>
      </w:pPr>
      <w:r>
        <w:t xml:space="preserve">This appendix outlines </w:t>
      </w:r>
      <w:r w:rsidR="00FC3E5C">
        <w:t xml:space="preserve">common </w:t>
      </w:r>
      <w:r>
        <w:t xml:space="preserve">propulsion system malfunctions or related incidents, in certain cases coupled with crew error or other </w:t>
      </w:r>
      <w:r w:rsidR="00441251">
        <w:t xml:space="preserve">airplane </w:t>
      </w:r>
      <w:r>
        <w:t xml:space="preserve">system malfunctions, resulting in consequences to the </w:t>
      </w:r>
      <w:r w:rsidR="00441251">
        <w:t xml:space="preserve">airplane </w:t>
      </w:r>
      <w:r>
        <w:t>or its passengers/crew.</w:t>
      </w:r>
    </w:p>
    <w:p w14:paraId="54E3A992" w14:textId="77777777" w:rsidR="00DC1855" w:rsidRPr="00724ED2" w:rsidRDefault="00DC1855" w:rsidP="00A471BF">
      <w:pPr>
        <w:pStyle w:val="Heading7"/>
      </w:pPr>
      <w:r w:rsidRPr="00724ED2">
        <w:t>Hazard level classification.</w:t>
      </w:r>
    </w:p>
    <w:p w14:paraId="3CED1803" w14:textId="6CAADE4C" w:rsidR="00DC1855" w:rsidRDefault="006D23B3" w:rsidP="002B46AC">
      <w:pPr>
        <w:pStyle w:val="Levels1-3-OneParagraphUnderHeading"/>
      </w:pPr>
      <w:r>
        <w:t xml:space="preserve">HLs are classified by their actual and direct outcomes to either the aircraft or its passengers or crew, not the collateral severity (e.g., injuries sustained during evacuation from the aircraft, hull loss due to lack of </w:t>
      </w:r>
      <w:proofErr w:type="spellStart"/>
      <w:r>
        <w:t>fire fighting</w:t>
      </w:r>
      <w:proofErr w:type="spellEnd"/>
      <w:r>
        <w:t xml:space="preserve"> support on the ground</w:t>
      </w:r>
      <w:r w:rsidR="00DC1855" w:rsidRPr="00E60066">
        <w:t>.</w:t>
      </w:r>
      <w:r w:rsidR="00E442E7">
        <w:t xml:space="preserve"> </w:t>
      </w:r>
      <w:r w:rsidR="00DC1855">
        <w:t>O</w:t>
      </w:r>
      <w:r w:rsidR="00DC1855" w:rsidRPr="00E60066">
        <w:t xml:space="preserve">ther methods </w:t>
      </w:r>
      <w:r w:rsidR="00DC1855">
        <w:t xml:space="preserve">are </w:t>
      </w:r>
      <w:r w:rsidR="00DC1855" w:rsidRPr="00E60066">
        <w:t>used to classify the severity of events, such as the assessment during certification of the worst anticipated outcome.</w:t>
      </w:r>
      <w:r w:rsidR="00E442E7">
        <w:t xml:space="preserve"> </w:t>
      </w:r>
      <w:r w:rsidR="00DC1855" w:rsidRPr="00E60066">
        <w:t>T</w:t>
      </w:r>
      <w:r w:rsidR="00DC1855">
        <w:t xml:space="preserve">hese different </w:t>
      </w:r>
      <w:r w:rsidR="00DC1855" w:rsidRPr="00E60066">
        <w:t>classification systems were developed independently, based on both actual or projected outcomes, and serve different purposes.</w:t>
      </w:r>
      <w:r w:rsidR="00E442E7">
        <w:t xml:space="preserve"> </w:t>
      </w:r>
      <w:r w:rsidR="00DC1855" w:rsidRPr="00E60066">
        <w:t>There</w:t>
      </w:r>
      <w:r w:rsidR="00DC1855">
        <w:t>fore, there</w:t>
      </w:r>
      <w:r w:rsidR="00DC1855" w:rsidRPr="00E60066">
        <w:t xml:space="preserve"> is not a one-to-one relationship for any given failure condition.</w:t>
      </w:r>
      <w:r w:rsidR="00E442E7">
        <w:t xml:space="preserve"> </w:t>
      </w:r>
      <w:r w:rsidR="00DC1855" w:rsidRPr="00E60066">
        <w:t xml:space="preserve">For example, a disk burst may be classified as “catastrophic” or “hazardous” under certification assessments, but an actual disk burst event may range in severity from </w:t>
      </w:r>
      <w:r w:rsidR="00DC1855">
        <w:t>hazard level</w:t>
      </w:r>
      <w:r w:rsidR="00DA2449">
        <w:t xml:space="preserve"> </w:t>
      </w:r>
      <w:r w:rsidR="00DC1855" w:rsidRPr="00E60066">
        <w:t xml:space="preserve">1 (minor) up to </w:t>
      </w:r>
      <w:r w:rsidR="00FB34DE">
        <w:t>HL</w:t>
      </w:r>
      <w:r w:rsidR="00DC1855" w:rsidRPr="00E60066">
        <w:t xml:space="preserve"> 5 (catastrophic).</w:t>
      </w:r>
    </w:p>
    <w:p w14:paraId="6EBEF9FD" w14:textId="33FE3654" w:rsidR="00E10F0B" w:rsidRDefault="00E10F0B" w:rsidP="00E10F0B">
      <w:pPr>
        <w:pStyle w:val="Levels1-3-Note"/>
      </w:pPr>
      <w:r>
        <w:t xml:space="preserve">A means to differentiate between </w:t>
      </w:r>
      <w:r w:rsidR="00FB34DE">
        <w:t>HL</w:t>
      </w:r>
      <w:r>
        <w:t>s 0, 1</w:t>
      </w:r>
      <w:r w:rsidR="00226FA4">
        <w:t>,</w:t>
      </w:r>
      <w:r>
        <w:t xml:space="preserve"> and 2, as delineated within the CAAM reports referenced in paragraph </w:t>
      </w:r>
      <w:r w:rsidR="002E0EC0">
        <w:t>5</w:t>
      </w:r>
      <w:r>
        <w:t>.</w:t>
      </w:r>
      <w:r w:rsidR="00623E84">
        <w:t>3</w:t>
      </w:r>
      <w:r>
        <w:t>, is not necessary for the purposes of this AC.</w:t>
      </w:r>
    </w:p>
    <w:p w14:paraId="2F894304" w14:textId="21EFBA48" w:rsidR="00E10F0B" w:rsidRPr="007928E4" w:rsidRDefault="00A92931" w:rsidP="007D5284">
      <w:pPr>
        <w:pStyle w:val="Heading7"/>
        <w:rPr>
          <w:rStyle w:val="Lead-in-Bold"/>
          <w:b/>
          <w:szCs w:val="24"/>
        </w:rPr>
      </w:pPr>
      <w:r w:rsidRPr="007928E4">
        <w:rPr>
          <w:rStyle w:val="Lead-in-Bold"/>
          <w:b/>
          <w:szCs w:val="24"/>
        </w:rPr>
        <w:t>HAZARD</w:t>
      </w:r>
      <w:r w:rsidR="00E10F0B" w:rsidRPr="007928E4">
        <w:rPr>
          <w:rStyle w:val="Lead-in-Bold"/>
          <w:b/>
          <w:szCs w:val="24"/>
        </w:rPr>
        <w:t xml:space="preserve"> </w:t>
      </w:r>
      <w:r w:rsidR="00E10F0B" w:rsidRPr="007D5284">
        <w:rPr>
          <w:rStyle w:val="Lead-in-Bold"/>
          <w:b/>
          <w:szCs w:val="24"/>
        </w:rPr>
        <w:t>Level</w:t>
      </w:r>
      <w:r w:rsidR="00E10F0B" w:rsidRPr="007928E4">
        <w:rPr>
          <w:rStyle w:val="Lead-in-Bold"/>
          <w:b/>
          <w:szCs w:val="24"/>
        </w:rPr>
        <w:t xml:space="preserve"> 3 </w:t>
      </w:r>
      <w:r w:rsidR="007928E4" w:rsidRPr="007928E4">
        <w:rPr>
          <w:rStyle w:val="Lead-in-Bold"/>
          <w:b/>
          <w:szCs w:val="24"/>
        </w:rPr>
        <w:t>–</w:t>
      </w:r>
      <w:r w:rsidR="00E10F0B" w:rsidRPr="007928E4">
        <w:rPr>
          <w:rStyle w:val="Lead-in-Bold"/>
          <w:b/>
          <w:szCs w:val="24"/>
        </w:rPr>
        <w:t xml:space="preserve"> Serious Consequences.</w:t>
      </w:r>
    </w:p>
    <w:p w14:paraId="3FDCBDB4" w14:textId="77777777" w:rsidR="00E10F0B" w:rsidRPr="00BA58B7" w:rsidRDefault="00E10F0B" w:rsidP="00E10F0B">
      <w:pPr>
        <w:pStyle w:val="Heading8"/>
        <w:rPr>
          <w:i/>
        </w:rPr>
      </w:pPr>
      <w:r w:rsidRPr="00BA58B7">
        <w:t xml:space="preserve">Substantial damage to the </w:t>
      </w:r>
      <w:r w:rsidR="00441251" w:rsidRPr="00BA58B7">
        <w:t xml:space="preserve">airplane </w:t>
      </w:r>
      <w:r w:rsidRPr="00B44D02">
        <w:t>or second unrelated system</w:t>
      </w:r>
      <w:r w:rsidRPr="00BA58B7">
        <w:t>.</w:t>
      </w:r>
    </w:p>
    <w:p w14:paraId="126686A6" w14:textId="77777777" w:rsidR="00E10F0B" w:rsidRPr="00DD1A01" w:rsidRDefault="00E10F0B" w:rsidP="00E10F0B">
      <w:pPr>
        <w:pStyle w:val="Heading9"/>
      </w:pPr>
      <w:r w:rsidRPr="00DD1A01">
        <w:t xml:space="preserve">Damage or structural failure that adversely affects the limit loads capability of a primary structural element or the performance or flight characteristics of the </w:t>
      </w:r>
      <w:r w:rsidR="00441251">
        <w:t>airplane</w:t>
      </w:r>
      <w:r w:rsidRPr="00DD1A01">
        <w:t>, and that would normally require major repair or replacement of the affected components.</w:t>
      </w:r>
    </w:p>
    <w:p w14:paraId="02484322" w14:textId="495C394D" w:rsidR="00E10F0B" w:rsidRDefault="00E10F0B" w:rsidP="00E10F0B">
      <w:pPr>
        <w:pStyle w:val="Levels1-3-Note"/>
        <w:rPr>
          <w:i/>
        </w:rPr>
      </w:pPr>
      <w:r>
        <w:t>Typically, engine failure damage that is limited to the engine or its mounts, bent</w:t>
      </w:r>
      <w:r w:rsidR="00E442E7">
        <w:t xml:space="preserve"> </w:t>
      </w:r>
      <w:r>
        <w:t>landing gear associated with runway departures, wheel, tires, flaps, engine accessories on failed engine, brakes, or wing tips do not generally result in the effects delineated above and are not considered “substantial damage.”</w:t>
      </w:r>
    </w:p>
    <w:p w14:paraId="29442500" w14:textId="13A20885" w:rsidR="00E10F0B" w:rsidRPr="00901E6F" w:rsidRDefault="00E10F0B" w:rsidP="00E10F0B">
      <w:pPr>
        <w:pStyle w:val="Heading9"/>
      </w:pPr>
      <w:r w:rsidRPr="00901E6F">
        <w:t xml:space="preserve">Damage to a second unrelated system </w:t>
      </w:r>
      <w:r w:rsidR="00AC199D">
        <w:t>that</w:t>
      </w:r>
      <w:r w:rsidR="001E5EE6">
        <w:t xml:space="preserve"> </w:t>
      </w:r>
      <w:r w:rsidRPr="00901E6F">
        <w:t>affect</w:t>
      </w:r>
      <w:r w:rsidR="00AC199D">
        <w:t>s</w:t>
      </w:r>
      <w:r w:rsidRPr="00901E6F">
        <w:t xml:space="preserve"> the ability to continue safe flight and landing.</w:t>
      </w:r>
      <w:r w:rsidR="00E442E7">
        <w:t xml:space="preserve"> </w:t>
      </w:r>
      <w:r w:rsidRPr="00901E6F">
        <w:t>Coordination and agreement between the engine, propeller, APU manufacturer</w:t>
      </w:r>
      <w:r w:rsidR="00051DF3">
        <w:t>s</w:t>
      </w:r>
      <w:r w:rsidRPr="00901E6F">
        <w:t>, and the airframe manufacturer may be required to categorize events related to second system damage.</w:t>
      </w:r>
      <w:bookmarkStart w:id="34" w:name="_Hlk150801753"/>
      <w:r w:rsidR="00E442E7">
        <w:t xml:space="preserve"> </w:t>
      </w:r>
      <w:r w:rsidR="00051DF3" w:rsidRPr="00051DF3">
        <w:t>For example, an uncontained rotor event, which severed an unrelated hydraulic system line without significantly degrading the ability to continue safe flight, should not be considered an HL 3 event. In general, airplanes are designed to be under one part of a redundant system inoperative with no effect on flight safety.</w:t>
      </w:r>
      <w:r w:rsidR="00E442E7">
        <w:t xml:space="preserve"> </w:t>
      </w:r>
      <w:bookmarkEnd w:id="34"/>
    </w:p>
    <w:p w14:paraId="364C4CF1" w14:textId="199AB825" w:rsidR="00E10F0B" w:rsidRPr="00901E6F" w:rsidRDefault="00E10F0B" w:rsidP="00E10F0B">
      <w:pPr>
        <w:pStyle w:val="Heading9"/>
      </w:pPr>
      <w:r w:rsidRPr="00901E6F">
        <w:t>Damage to a second engine that result</w:t>
      </w:r>
      <w:r w:rsidR="00A15D25">
        <w:t>s</w:t>
      </w:r>
      <w:r w:rsidRPr="00901E6F">
        <w:t xml:space="preserve"> in a significant loss of thrust or an operational problem requiring pilot action to reduce power.</w:t>
      </w:r>
      <w:r w:rsidR="00E442E7">
        <w:t xml:space="preserve"> </w:t>
      </w:r>
      <w:r w:rsidRPr="00901E6F">
        <w:t xml:space="preserve">Minor damage that was not observed by </w:t>
      </w:r>
      <w:r w:rsidRPr="00901E6F">
        <w:lastRenderedPageBreak/>
        <w:t>the crew during flight and which did not affect the ability of the engine to continue safe operation for the rest of the flight should not be considered a</w:t>
      </w:r>
      <w:r w:rsidR="00A63B2D">
        <w:t>n</w:t>
      </w:r>
      <w:r w:rsidRPr="00901E6F">
        <w:t xml:space="preserve"> </w:t>
      </w:r>
      <w:r w:rsidR="00BE57AD">
        <w:t>HL</w:t>
      </w:r>
      <w:r w:rsidRPr="00901E6F">
        <w:t xml:space="preserve"> 3 event.</w:t>
      </w:r>
    </w:p>
    <w:p w14:paraId="28307F29" w14:textId="1493921E" w:rsidR="00E10F0B" w:rsidRPr="00BE4672" w:rsidRDefault="00E10F0B" w:rsidP="00E10F0B">
      <w:pPr>
        <w:pStyle w:val="Heading8"/>
      </w:pPr>
      <w:r>
        <w:t>Uncontrolled fires.</w:t>
      </w:r>
      <w:r w:rsidR="00E442E7">
        <w:t xml:space="preserve"> </w:t>
      </w:r>
      <w:r w:rsidRPr="00315E9D">
        <w:t>Fires that escape the fire zone and impinge flames onto the wing or fuselage, or act as ignition sources for flammable material anticipated to be present outside the fire zone.</w:t>
      </w:r>
      <w:r w:rsidR="00E442E7">
        <w:t xml:space="preserve"> </w:t>
      </w:r>
      <w:r w:rsidRPr="00315E9D">
        <w:t>This</w:t>
      </w:r>
      <w:r>
        <w:t xml:space="preserve"> </w:t>
      </w:r>
      <w:r w:rsidR="00086BD8">
        <w:t xml:space="preserve">category </w:t>
      </w:r>
      <w:r>
        <w:t>i</w:t>
      </w:r>
      <w:r w:rsidRPr="00835A33">
        <w:t>ncludes tailpipe fires</w:t>
      </w:r>
      <w:r>
        <w:t xml:space="preserve"> that</w:t>
      </w:r>
      <w:r w:rsidRPr="00835A33">
        <w:t xml:space="preserve"> cause thermal damage or require the affected structure or control surface to be replaced or repaired.</w:t>
      </w:r>
    </w:p>
    <w:p w14:paraId="678B17EA" w14:textId="77777777" w:rsidR="00E10F0B" w:rsidRDefault="00E10F0B" w:rsidP="00E10F0B">
      <w:pPr>
        <w:pStyle w:val="Heading8"/>
      </w:pPr>
      <w:r>
        <w:t>Rapid depressurization of the cabin.</w:t>
      </w:r>
    </w:p>
    <w:p w14:paraId="5E216BE9" w14:textId="77777777" w:rsidR="00E10F0B" w:rsidRPr="00E10F0B" w:rsidRDefault="00E10F0B" w:rsidP="00E10F0B">
      <w:pPr>
        <w:pStyle w:val="Heading8"/>
      </w:pPr>
      <w:r w:rsidRPr="00E10F0B">
        <w:t>Permanent loss of thrust or power greater than one propulsion system (inflight).</w:t>
      </w:r>
    </w:p>
    <w:p w14:paraId="4335A5CE" w14:textId="77777777" w:rsidR="00E10F0B" w:rsidRPr="00E10F0B" w:rsidRDefault="00E10F0B" w:rsidP="00E10F0B">
      <w:pPr>
        <w:pStyle w:val="Heading8"/>
      </w:pPr>
      <w:r w:rsidRPr="00E10F0B">
        <w:t>Temporary loss of thrust greater than one propulsion system.</w:t>
      </w:r>
    </w:p>
    <w:p w14:paraId="7C26B9B5" w14:textId="7E1F62A1" w:rsidR="00E10F0B" w:rsidRPr="003568CF" w:rsidRDefault="00E10F0B" w:rsidP="00E10F0B">
      <w:pPr>
        <w:pStyle w:val="Levels1-3-Note"/>
      </w:pPr>
      <w:r w:rsidRPr="003568CF">
        <w:t>For multiple-engine events that resulted in temporary total power loss, the following criteria were considered to place an event within</w:t>
      </w:r>
      <w:r w:rsidR="005464EE">
        <w:t xml:space="preserve"> </w:t>
      </w:r>
      <w:r w:rsidR="00BE57AD">
        <w:t>HL</w:t>
      </w:r>
      <w:r w:rsidRPr="008A3D3F">
        <w:t xml:space="preserve"> 3:</w:t>
      </w:r>
      <w:r w:rsidRPr="003568CF">
        <w:t xml:space="preserve"> occurrence below 10,000 feet </w:t>
      </w:r>
      <w:r>
        <w:t>above ground-level</w:t>
      </w:r>
      <w:r w:rsidRPr="003568CF">
        <w:t xml:space="preserve"> or the loss of more than 5,000 feet altitude (as in situations where the airplane must descend to a suitable altitude prior to attempting restart).</w:t>
      </w:r>
      <w:r w:rsidR="00E442E7">
        <w:t xml:space="preserve"> </w:t>
      </w:r>
      <w:r w:rsidRPr="003568CF">
        <w:t>Consideration of transitory events of total power loss below 10,000 feet should consider length of transient vs. closeness to the ground as part of this evaluation.</w:t>
      </w:r>
    </w:p>
    <w:p w14:paraId="74AF47D7" w14:textId="78ED81FA" w:rsidR="00E10F0B" w:rsidRDefault="00E10F0B" w:rsidP="00E10F0B">
      <w:pPr>
        <w:pStyle w:val="Heading9"/>
      </w:pPr>
      <w:r>
        <w:t xml:space="preserve">Any temporary or permanent impairment of </w:t>
      </w:r>
      <w:r w:rsidR="000063F1">
        <w:t xml:space="preserve">airplane </w:t>
      </w:r>
      <w:r>
        <w:t xml:space="preserve">controllability caused by, for instance, propulsion system malfunction, thrust reverser inflight deployment, propeller control malfunction, or propulsion system malfunction coupled with </w:t>
      </w:r>
      <w:r w:rsidR="000063F1">
        <w:t xml:space="preserve">airplane </w:t>
      </w:r>
      <w:r>
        <w:t xml:space="preserve">control system malfunction, abnormal </w:t>
      </w:r>
      <w:r w:rsidR="000063F1">
        <w:t xml:space="preserve">airplane </w:t>
      </w:r>
      <w:r>
        <w:t>vibration, or crew error.</w:t>
      </w:r>
      <w:r w:rsidR="00E442E7">
        <w:t xml:space="preserve"> </w:t>
      </w:r>
      <w:r w:rsidRPr="000150E6">
        <w:t>Events within the normal spectrum of crew response in requiring crew control inputs to regain the airplane flight path are not included.</w:t>
      </w:r>
    </w:p>
    <w:p w14:paraId="03640350" w14:textId="32912143" w:rsidR="00E10F0B" w:rsidRDefault="00E10F0B" w:rsidP="00E10F0B">
      <w:pPr>
        <w:pStyle w:val="Heading9"/>
        <w:rPr>
          <w:snapToGrid w:val="0"/>
        </w:rPr>
      </w:pPr>
      <w:r>
        <w:rPr>
          <w:snapToGrid w:val="0"/>
        </w:rPr>
        <w:t>Malfunctions or failures that result in smoke or other fumes</w:t>
      </w:r>
      <w:r w:rsidR="003423BF">
        <w:rPr>
          <w:snapToGrid w:val="0"/>
        </w:rPr>
        <w:t xml:space="preserve"> </w:t>
      </w:r>
      <w:r w:rsidR="003B66FA">
        <w:rPr>
          <w:snapToGrid w:val="0"/>
        </w:rPr>
        <w:t>delivered to</w:t>
      </w:r>
      <w:r w:rsidR="003423BF">
        <w:rPr>
          <w:snapToGrid w:val="0"/>
        </w:rPr>
        <w:t xml:space="preserve"> the flight deck</w:t>
      </w:r>
      <w:r w:rsidR="007F467C">
        <w:rPr>
          <w:snapToGrid w:val="0"/>
        </w:rPr>
        <w:t>, thereby seriously</w:t>
      </w:r>
      <w:r w:rsidR="000C3AE3">
        <w:rPr>
          <w:snapToGrid w:val="0"/>
        </w:rPr>
        <w:t xml:space="preserve"> impairing the flight crew</w:t>
      </w:r>
      <w:r>
        <w:rPr>
          <w:snapToGrid w:val="0"/>
        </w:rPr>
        <w:t>.</w:t>
      </w:r>
      <w:r w:rsidR="00E442E7">
        <w:rPr>
          <w:snapToGrid w:val="0"/>
        </w:rPr>
        <w:t xml:space="preserve"> </w:t>
      </w:r>
      <w:r>
        <w:rPr>
          <w:snapToGrid w:val="0"/>
        </w:rPr>
        <w:t xml:space="preserve">Serious impairment includes the loss of </w:t>
      </w:r>
      <w:r w:rsidR="00086BD8">
        <w:rPr>
          <w:snapToGrid w:val="0"/>
        </w:rPr>
        <w:t xml:space="preserve">the </w:t>
      </w:r>
      <w:r>
        <w:rPr>
          <w:snapToGrid w:val="0"/>
        </w:rPr>
        <w:t>crew’s ability to see flight deck instrumentation or perform expected flight duties.</w:t>
      </w:r>
      <w:r w:rsidR="00E442E7">
        <w:rPr>
          <w:snapToGrid w:val="0"/>
        </w:rPr>
        <w:t xml:space="preserve"> </w:t>
      </w:r>
      <w:r>
        <w:rPr>
          <w:snapToGrid w:val="0"/>
        </w:rPr>
        <w:t>Purely psychological aspects of the concern of odors, etc., are not to be included, nor are concerns about long-term exposure.</w:t>
      </w:r>
    </w:p>
    <w:p w14:paraId="2EDFBF73" w14:textId="22C7AE72" w:rsidR="00E10F0B" w:rsidRPr="00E10F0B" w:rsidRDefault="00E10F0B" w:rsidP="00E10F0B">
      <w:pPr>
        <w:pStyle w:val="Heading9"/>
        <w:rPr>
          <w:snapToGrid w:val="0"/>
        </w:rPr>
      </w:pPr>
      <w:r w:rsidRPr="00E053FB">
        <w:rPr>
          <w:snapToGrid w:val="0"/>
        </w:rPr>
        <w:t xml:space="preserve">Fuel leak resulting in a declared landing priority or </w:t>
      </w:r>
      <w:r>
        <w:rPr>
          <w:snapToGrid w:val="0"/>
        </w:rPr>
        <w:t>m</w:t>
      </w:r>
      <w:r w:rsidRPr="00E053FB">
        <w:rPr>
          <w:snapToGrid w:val="0"/>
        </w:rPr>
        <w:t>ayday due to low fuel state.</w:t>
      </w:r>
      <w:r w:rsidR="00E442E7">
        <w:rPr>
          <w:snapToGrid w:val="0"/>
        </w:rPr>
        <w:t xml:space="preserve"> </w:t>
      </w:r>
      <w:r w:rsidRPr="00E053FB">
        <w:rPr>
          <w:snapToGrid w:val="0"/>
        </w:rPr>
        <w:t xml:space="preserve">Any leak resulting in landing with fuel below reserve </w:t>
      </w:r>
      <w:r w:rsidR="007F74C6">
        <w:rPr>
          <w:snapToGrid w:val="0"/>
        </w:rPr>
        <w:t>(</w:t>
      </w:r>
      <w:r w:rsidRPr="00E053FB">
        <w:rPr>
          <w:snapToGrid w:val="0"/>
        </w:rPr>
        <w:t>minimum</w:t>
      </w:r>
      <w:r w:rsidR="007F74C6">
        <w:rPr>
          <w:snapToGrid w:val="0"/>
        </w:rPr>
        <w:t>)</w:t>
      </w:r>
      <w:r w:rsidRPr="00E053FB">
        <w:rPr>
          <w:snapToGrid w:val="0"/>
        </w:rPr>
        <w:t xml:space="preserve"> fuel level.</w:t>
      </w:r>
      <w:r w:rsidR="00E442E7">
        <w:rPr>
          <w:snapToGrid w:val="0"/>
        </w:rPr>
        <w:t xml:space="preserve"> </w:t>
      </w:r>
      <w:r w:rsidRPr="00E053FB">
        <w:rPr>
          <w:snapToGrid w:val="0"/>
        </w:rPr>
        <w:t xml:space="preserve">Holes or punctures in </w:t>
      </w:r>
      <w:r w:rsidR="000063F1">
        <w:rPr>
          <w:snapToGrid w:val="0"/>
        </w:rPr>
        <w:t>airplane</w:t>
      </w:r>
      <w:r w:rsidR="000063F1" w:rsidRPr="00E053FB">
        <w:rPr>
          <w:snapToGrid w:val="0"/>
        </w:rPr>
        <w:t xml:space="preserve"> </w:t>
      </w:r>
      <w:r w:rsidRPr="00E053FB">
        <w:rPr>
          <w:snapToGrid w:val="0"/>
        </w:rPr>
        <w:t xml:space="preserve">fuel lines or tanks, greater than </w:t>
      </w:r>
      <w:r>
        <w:rPr>
          <w:snapToGrid w:val="0"/>
        </w:rPr>
        <w:t>two</w:t>
      </w:r>
      <w:r w:rsidRPr="00E053FB">
        <w:rPr>
          <w:snapToGrid w:val="0"/>
        </w:rPr>
        <w:t xml:space="preserve"> square inches, caused by uncontained or cowl loss events.</w:t>
      </w:r>
    </w:p>
    <w:p w14:paraId="58C058C5" w14:textId="77777777" w:rsidR="00BE4672" w:rsidRPr="00DD1A01" w:rsidRDefault="00A92931" w:rsidP="00DD1A01">
      <w:pPr>
        <w:pStyle w:val="Heading7"/>
        <w:rPr>
          <w:rStyle w:val="Lead-in-Bold"/>
          <w:b/>
          <w:szCs w:val="24"/>
        </w:rPr>
      </w:pPr>
      <w:r>
        <w:rPr>
          <w:rStyle w:val="Lead-in-Bold"/>
          <w:b/>
          <w:szCs w:val="24"/>
        </w:rPr>
        <w:t>HAZARD</w:t>
      </w:r>
      <w:r w:rsidR="00773524" w:rsidRPr="00DD1A01">
        <w:rPr>
          <w:rStyle w:val="Lead-in-Bold"/>
          <w:b/>
          <w:szCs w:val="24"/>
        </w:rPr>
        <w:t xml:space="preserve"> </w:t>
      </w:r>
      <w:r w:rsidR="00470875" w:rsidRPr="00DD1A01">
        <w:rPr>
          <w:rStyle w:val="Lead-in-Bold"/>
          <w:b/>
          <w:szCs w:val="24"/>
        </w:rPr>
        <w:t xml:space="preserve">Level </w:t>
      </w:r>
      <w:r w:rsidR="00BE4672" w:rsidRPr="00DD1A01">
        <w:rPr>
          <w:rStyle w:val="Lead-in-Bold"/>
          <w:b/>
          <w:szCs w:val="24"/>
        </w:rPr>
        <w:t xml:space="preserve">4 </w:t>
      </w:r>
      <w:r w:rsidR="00DC1855" w:rsidRPr="00DD1A01">
        <w:rPr>
          <w:rStyle w:val="Lead-in-Bold"/>
          <w:b/>
          <w:szCs w:val="24"/>
        </w:rPr>
        <w:t>–</w:t>
      </w:r>
      <w:r w:rsidR="00BE4672" w:rsidRPr="00DD1A01">
        <w:rPr>
          <w:rStyle w:val="Lead-in-Bold"/>
          <w:b/>
          <w:szCs w:val="24"/>
        </w:rPr>
        <w:t xml:space="preserve"> </w:t>
      </w:r>
      <w:r w:rsidR="00DC1855" w:rsidRPr="00DD1A01">
        <w:rPr>
          <w:rStyle w:val="Lead-in-Bold"/>
          <w:b/>
          <w:szCs w:val="24"/>
        </w:rPr>
        <w:t>Severe Consequences</w:t>
      </w:r>
      <w:r w:rsidR="00BE4672" w:rsidRPr="00DD1A01">
        <w:rPr>
          <w:rStyle w:val="Lead-in-Bold"/>
          <w:b/>
          <w:szCs w:val="24"/>
        </w:rPr>
        <w:t>.</w:t>
      </w:r>
    </w:p>
    <w:p w14:paraId="661A6E08" w14:textId="4767912E" w:rsidR="00891DAA" w:rsidRDefault="00BE4672" w:rsidP="00DD1A01">
      <w:pPr>
        <w:pStyle w:val="Heading8"/>
      </w:pPr>
      <w:r w:rsidRPr="00773524">
        <w:t>Forced landing</w:t>
      </w:r>
      <w:r w:rsidR="00DC1855">
        <w:t xml:space="preserve"> is</w:t>
      </w:r>
      <w:r w:rsidRPr="00773524">
        <w:t xml:space="preserve"> the inability to continue flight due to the consequences of damage, uncontrolled fire</w:t>
      </w:r>
      <w:r w:rsidR="00E410DE">
        <w:t>,</w:t>
      </w:r>
      <w:r w:rsidRPr="00773524">
        <w:t xml:space="preserve"> or thrust loss where imminent landing is obvious</w:t>
      </w:r>
      <w:r w:rsidR="00086BD8">
        <w:t>,</w:t>
      </w:r>
      <w:r w:rsidRPr="00773524">
        <w:t xml:space="preserve"> but </w:t>
      </w:r>
      <w:r w:rsidR="000063F1">
        <w:t>airplane</w:t>
      </w:r>
      <w:r w:rsidR="000063F1" w:rsidRPr="00773524">
        <w:t xml:space="preserve"> </w:t>
      </w:r>
      <w:r w:rsidRPr="00773524">
        <w:t>controllability is not necessarily lost</w:t>
      </w:r>
      <w:r w:rsidR="00096941">
        <w:t>.</w:t>
      </w:r>
      <w:r w:rsidR="00E442E7">
        <w:t xml:space="preserve"> </w:t>
      </w:r>
      <w:r w:rsidR="00096941">
        <w:t>For example,</w:t>
      </w:r>
      <w:r w:rsidRPr="00773524">
        <w:t xml:space="preserve"> total power loss due to fuel exhaustion will result in a forced landing.</w:t>
      </w:r>
    </w:p>
    <w:p w14:paraId="1EFC1B66" w14:textId="340E5EDA" w:rsidR="00BE4672" w:rsidRPr="00773524" w:rsidRDefault="00BE4672" w:rsidP="00901E6F">
      <w:pPr>
        <w:pStyle w:val="Levels1-3-Note"/>
      </w:pPr>
      <w:r w:rsidRPr="00773524">
        <w:lastRenderedPageBreak/>
        <w:t xml:space="preserve">The term emergency landing may also be used to mean a forced landing if there is an urgent requirement to land, but </w:t>
      </w:r>
      <w:r w:rsidR="00086BD8">
        <w:t xml:space="preserve">the </w:t>
      </w:r>
      <w:r w:rsidRPr="00773524">
        <w:t>declaration of an emergency does not necessarily imply that a forced landing is imminent.</w:t>
      </w:r>
      <w:r w:rsidR="00E442E7">
        <w:t xml:space="preserve"> </w:t>
      </w:r>
      <w:r w:rsidRPr="00773524">
        <w:t xml:space="preserve">An air </w:t>
      </w:r>
      <w:proofErr w:type="gramStart"/>
      <w:r w:rsidRPr="00773524">
        <w:t>turn back</w:t>
      </w:r>
      <w:proofErr w:type="gramEnd"/>
      <w:r w:rsidRPr="00773524">
        <w:t xml:space="preserve"> or diversion due to a malfunction is not a forced landing since there is a lack of urgency and the crew </w:t>
      </w:r>
      <w:proofErr w:type="gramStart"/>
      <w:r w:rsidRPr="00773524">
        <w:t>has the ability to</w:t>
      </w:r>
      <w:proofErr w:type="gramEnd"/>
      <w:r w:rsidRPr="00773524">
        <w:t xml:space="preserve"> select where they will perform the landing.</w:t>
      </w:r>
      <w:r w:rsidR="00E442E7">
        <w:t xml:space="preserve"> </w:t>
      </w:r>
      <w:r w:rsidRPr="00773524">
        <w:t>However, off-airport landings are almost always forced landings.</w:t>
      </w:r>
    </w:p>
    <w:p w14:paraId="48B3E083" w14:textId="77777777" w:rsidR="00BE4672" w:rsidRDefault="00440E4D" w:rsidP="00DD1A01">
      <w:pPr>
        <w:pStyle w:val="Heading8"/>
      </w:pPr>
      <w:r>
        <w:t>Los</w:t>
      </w:r>
      <w:r w:rsidR="00467EB8">
        <w:t>s</w:t>
      </w:r>
      <w:r>
        <w:t xml:space="preserve"> of </w:t>
      </w:r>
      <w:r w:rsidR="000063F1">
        <w:t xml:space="preserve">airplane </w:t>
      </w:r>
      <w:r w:rsidR="00467EB8">
        <w:t>while occupants were on board.</w:t>
      </w:r>
    </w:p>
    <w:p w14:paraId="37B8CDDE" w14:textId="00BE216D" w:rsidR="00773524" w:rsidRPr="00773524" w:rsidRDefault="00467EB8" w:rsidP="00773524">
      <w:pPr>
        <w:pStyle w:val="Levels1-3-Note"/>
      </w:pPr>
      <w:r>
        <w:t xml:space="preserve">This refers to hull loss as opposed to </w:t>
      </w:r>
      <w:r w:rsidR="00E410DE">
        <w:t xml:space="preserve">an </w:t>
      </w:r>
      <w:r>
        <w:t>economic</w:t>
      </w:r>
      <w:r w:rsidR="00E410DE">
        <w:t xml:space="preserve"> loss</w:t>
      </w:r>
      <w:r>
        <w:t>.</w:t>
      </w:r>
      <w:r w:rsidR="00E442E7">
        <w:t xml:space="preserve"> </w:t>
      </w:r>
      <w:r w:rsidR="00773524" w:rsidRPr="00663A25">
        <w:t xml:space="preserve">Hull losses where the </w:t>
      </w:r>
      <w:r w:rsidR="00EF2EC6" w:rsidRPr="00663A25">
        <w:t>air</w:t>
      </w:r>
      <w:r w:rsidR="00D75E16">
        <w:t>plane</w:t>
      </w:r>
      <w:r w:rsidR="00EF2EC6" w:rsidRPr="00663A25">
        <w:t xml:space="preserve"> </w:t>
      </w:r>
      <w:r w:rsidR="00773524" w:rsidRPr="00663A25">
        <w:t xml:space="preserve">could have been repaired, but </w:t>
      </w:r>
      <w:r w:rsidR="00086BD8">
        <w:t xml:space="preserve">the </w:t>
      </w:r>
      <w:r w:rsidR="00773524" w:rsidRPr="00663A25">
        <w:t>repair would not have been cost effective</w:t>
      </w:r>
      <w:r w:rsidR="00B44D02">
        <w:t>,</w:t>
      </w:r>
      <w:r w:rsidR="00773524" w:rsidRPr="00663A25">
        <w:t xml:space="preserve"> are excluded.</w:t>
      </w:r>
      <w:r w:rsidR="00E442E7">
        <w:t xml:space="preserve"> </w:t>
      </w:r>
      <w:r w:rsidR="00773524" w:rsidRPr="00663A25">
        <w:t>Additionally, hull losses that occurred well after the event because appropriate action was not taken to further mitigate damage</w:t>
      </w:r>
      <w:r w:rsidR="00891DAA">
        <w:t xml:space="preserve"> are also excluded</w:t>
      </w:r>
      <w:r w:rsidR="00437A52">
        <w:t>.</w:t>
      </w:r>
      <w:r w:rsidR="00E442E7">
        <w:t xml:space="preserve"> </w:t>
      </w:r>
      <w:r w:rsidR="00437A52">
        <w:t>For example</w:t>
      </w:r>
      <w:r w:rsidR="00773524" w:rsidRPr="00663A25">
        <w:t xml:space="preserve">, </w:t>
      </w:r>
      <w:r w:rsidR="00086BD8">
        <w:t xml:space="preserve">a </w:t>
      </w:r>
      <w:r w:rsidR="00773524" w:rsidRPr="00663A25">
        <w:t xml:space="preserve">fire </w:t>
      </w:r>
      <w:r w:rsidR="00891DAA">
        <w:t xml:space="preserve">that </w:t>
      </w:r>
      <w:r w:rsidR="00773524" w:rsidRPr="00663A25">
        <w:t>break</w:t>
      </w:r>
      <w:r w:rsidR="00891DAA">
        <w:t>s</w:t>
      </w:r>
      <w:r w:rsidR="00773524" w:rsidRPr="00663A25">
        <w:t xml:space="preserve"> out because no fire equipment was available</w:t>
      </w:r>
      <w:r w:rsidR="00D91A53">
        <w:t xml:space="preserve"> would not be considered a hull loss</w:t>
      </w:r>
      <w:r w:rsidR="00773524" w:rsidRPr="00663A25">
        <w:t>.</w:t>
      </w:r>
      <w:r w:rsidR="00E442E7">
        <w:t xml:space="preserve"> </w:t>
      </w:r>
      <w:r w:rsidR="00773524" w:rsidRPr="00663A25">
        <w:t>Some degree of judgment may be required in determining whether the hull loss qualifies for inclusion.</w:t>
      </w:r>
    </w:p>
    <w:p w14:paraId="47BE940A" w14:textId="1ED24673" w:rsidR="004064A9" w:rsidRDefault="00BE4672" w:rsidP="00D423CE">
      <w:pPr>
        <w:pStyle w:val="Heading9"/>
      </w:pPr>
      <w:r w:rsidRPr="00502B62">
        <w:t>Serious injuries or fatalities</w:t>
      </w:r>
      <w:r w:rsidR="00DC1855">
        <w:t>.</w:t>
      </w:r>
      <w:r w:rsidR="00E442E7">
        <w:t xml:space="preserve"> </w:t>
      </w:r>
      <w:r w:rsidR="00691382">
        <w:t xml:space="preserve">See paragraph </w:t>
      </w:r>
      <w:r w:rsidR="002E0EC0">
        <w:t>6</w:t>
      </w:r>
      <w:r w:rsidR="00691382">
        <w:t xml:space="preserve"> for the definition of serious injur</w:t>
      </w:r>
      <w:r w:rsidR="00E410DE">
        <w:t>y</w:t>
      </w:r>
      <w:r w:rsidR="00691382">
        <w:t xml:space="preserve"> </w:t>
      </w:r>
      <w:r w:rsidR="00E410DE">
        <w:t xml:space="preserve">and </w:t>
      </w:r>
      <w:r w:rsidR="00691382">
        <w:t>fatal</w:t>
      </w:r>
      <w:r w:rsidR="00E410DE">
        <w:t xml:space="preserve"> injury.</w:t>
      </w:r>
    </w:p>
    <w:p w14:paraId="75422E07" w14:textId="1C6A3D63" w:rsidR="004064A9" w:rsidRDefault="00467EB8" w:rsidP="004B0CFB">
      <w:pPr>
        <w:pStyle w:val="Levels1-3-NumberedNotes"/>
        <w:numPr>
          <w:ilvl w:val="0"/>
          <w:numId w:val="25"/>
        </w:numPr>
        <w:tabs>
          <w:tab w:val="left" w:pos="900"/>
        </w:tabs>
        <w:ind w:left="900"/>
      </w:pPr>
      <w:r>
        <w:t xml:space="preserve">The </w:t>
      </w:r>
      <w:r w:rsidR="00BE57AD">
        <w:t>HL</w:t>
      </w:r>
      <w:r w:rsidR="004064A9">
        <w:t xml:space="preserve"> 4 risk guidelines are intended to cover exposures to the most severe of serious injuries</w:t>
      </w:r>
      <w:r w:rsidR="00437A52">
        <w:t>,</w:t>
      </w:r>
      <w:r w:rsidR="004064A9">
        <w:t xml:space="preserve"> </w:t>
      </w:r>
      <w:r w:rsidR="00437A52">
        <w:t>such as</w:t>
      </w:r>
      <w:r w:rsidR="004064A9">
        <w:t xml:space="preserve"> life-threatening injuries.</w:t>
      </w:r>
      <w:r w:rsidR="00E442E7">
        <w:t xml:space="preserve"> </w:t>
      </w:r>
      <w:r w:rsidR="004064A9">
        <w:t>Consequently, relaxation of these guidelines may be acceptable in cases where the associated serious injuries are clearly not life threatening</w:t>
      </w:r>
      <w:r w:rsidR="00437A52">
        <w:t>, such as</w:t>
      </w:r>
      <w:r w:rsidR="004064A9">
        <w:t xml:space="preserve"> simple fractures.</w:t>
      </w:r>
    </w:p>
    <w:p w14:paraId="06ECC00D" w14:textId="2342CA82" w:rsidR="004064A9" w:rsidRPr="00E10F0B" w:rsidRDefault="004064A9" w:rsidP="004064A9">
      <w:pPr>
        <w:pStyle w:val="Levels1-3-NumberedNotes"/>
      </w:pPr>
      <w:r>
        <w:rPr>
          <w:snapToGrid w:val="0"/>
        </w:rPr>
        <w:t>Injuries resulting from an emergency evacuation rather than from the event</w:t>
      </w:r>
      <w:r w:rsidR="00437A52">
        <w:rPr>
          <w:snapToGrid w:val="0"/>
        </w:rPr>
        <w:t>,</w:t>
      </w:r>
      <w:r>
        <w:rPr>
          <w:snapToGrid w:val="0"/>
        </w:rPr>
        <w:t xml:space="preserve"> which caused the </w:t>
      </w:r>
      <w:r w:rsidR="00437A52">
        <w:rPr>
          <w:snapToGrid w:val="0"/>
        </w:rPr>
        <w:t>evacuation,</w:t>
      </w:r>
      <w:r>
        <w:rPr>
          <w:snapToGrid w:val="0"/>
        </w:rPr>
        <w:t xml:space="preserve"> are not considered in evaluating the severity of the event.</w:t>
      </w:r>
      <w:r w:rsidR="00E442E7">
        <w:rPr>
          <w:snapToGrid w:val="0"/>
        </w:rPr>
        <w:t xml:space="preserve"> </w:t>
      </w:r>
      <w:r>
        <w:rPr>
          <w:snapToGrid w:val="0"/>
        </w:rPr>
        <w:t>It is recognized that emergency evacuations by means of the slides can result in injuries without regard to the kind of event precipitating the evacuation.</w:t>
      </w:r>
    </w:p>
    <w:p w14:paraId="43906FCA" w14:textId="77777777" w:rsidR="00E10F0B" w:rsidRPr="00DD1A01" w:rsidRDefault="00A92931" w:rsidP="00E10F0B">
      <w:pPr>
        <w:pStyle w:val="Heading7"/>
        <w:rPr>
          <w:rStyle w:val="Lead-in-Bold"/>
          <w:b/>
          <w:szCs w:val="24"/>
        </w:rPr>
      </w:pPr>
      <w:r>
        <w:rPr>
          <w:rStyle w:val="Lead-in-Bold"/>
          <w:b/>
          <w:szCs w:val="24"/>
        </w:rPr>
        <w:t>HAZARD</w:t>
      </w:r>
      <w:r w:rsidR="00E10F0B" w:rsidRPr="00DD1A01">
        <w:rPr>
          <w:rStyle w:val="Lead-in-Bold"/>
          <w:b/>
          <w:szCs w:val="24"/>
        </w:rPr>
        <w:t xml:space="preserve"> Level 5 – Catastrophic Consequences.</w:t>
      </w:r>
    </w:p>
    <w:p w14:paraId="171D73A6" w14:textId="6EA25A09" w:rsidR="00E10F0B" w:rsidRDefault="00E10F0B" w:rsidP="00E10F0B">
      <w:pPr>
        <w:pStyle w:val="Levels1-3-OneParagraphUnderHeading"/>
      </w:pPr>
      <w:r w:rsidRPr="00516B26">
        <w:t>Catastrophic outcome</w:t>
      </w:r>
      <w:r>
        <w:t>, an occurrence resulting in multiple fatalities, usually with the loss of the air</w:t>
      </w:r>
      <w:r w:rsidR="006D23B3">
        <w:t>craft</w:t>
      </w:r>
      <w:r>
        <w:t>.</w:t>
      </w:r>
    </w:p>
    <w:p w14:paraId="5FEA63EC" w14:textId="77777777" w:rsidR="004464D3" w:rsidRDefault="004464D3" w:rsidP="003568CF">
      <w:pPr>
        <w:pStyle w:val="Heading7"/>
      </w:pPr>
      <w:r>
        <w:t>GENERAL NOTES APPLICABLE TO ALL EVENT HAZARD LEVELS.</w:t>
      </w:r>
    </w:p>
    <w:p w14:paraId="3E082C8D" w14:textId="77777777" w:rsidR="004464D3" w:rsidRPr="003568CF" w:rsidRDefault="004464D3" w:rsidP="003568CF">
      <w:pPr>
        <w:pStyle w:val="Heading8"/>
      </w:pPr>
      <w:r w:rsidRPr="003568CF">
        <w:t xml:space="preserve">The severity of </w:t>
      </w:r>
      <w:r w:rsidR="000063F1">
        <w:t>airplane</w:t>
      </w:r>
      <w:r w:rsidR="000063F1" w:rsidRPr="003568CF">
        <w:t xml:space="preserve"> </w:t>
      </w:r>
      <w:r w:rsidRPr="003568CF">
        <w:t xml:space="preserve">damage is based on the consequences and damage that </w:t>
      </w:r>
      <w:proofErr w:type="gramStart"/>
      <w:r w:rsidRPr="003568CF">
        <w:t>actually occurred</w:t>
      </w:r>
      <w:proofErr w:type="gramEnd"/>
      <w:r w:rsidRPr="003568CF">
        <w:t>.</w:t>
      </w:r>
    </w:p>
    <w:p w14:paraId="5AA1F291" w14:textId="39C798CF" w:rsidR="00DB248F" w:rsidRDefault="004464D3" w:rsidP="003568CF">
      <w:pPr>
        <w:pStyle w:val="Heading8"/>
      </w:pPr>
      <w:r>
        <w:t xml:space="preserve">Uncontained event damage definitions </w:t>
      </w:r>
      <w:r w:rsidR="00201652">
        <w:t xml:space="preserve">are different </w:t>
      </w:r>
      <w:r w:rsidR="00AB459F">
        <w:t>from</w:t>
      </w:r>
      <w:r w:rsidR="00201652">
        <w:t xml:space="preserve"> </w:t>
      </w:r>
      <w:r>
        <w:t xml:space="preserve">those used in </w:t>
      </w:r>
      <w:r w:rsidR="00201652">
        <w:t xml:space="preserve">other </w:t>
      </w:r>
      <w:r w:rsidR="008318BE">
        <w:t>SAE</w:t>
      </w:r>
      <w:r w:rsidR="00201652">
        <w:t xml:space="preserve"> publications</w:t>
      </w:r>
      <w:r w:rsidR="008318BE">
        <w:t>,</w:t>
      </w:r>
      <w:r>
        <w:t xml:space="preserve"> with respect to a</w:t>
      </w:r>
      <w:r w:rsidR="00A63B2D">
        <w:t>n</w:t>
      </w:r>
      <w:r>
        <w:t xml:space="preserve"> </w:t>
      </w:r>
      <w:r w:rsidR="00BE57AD">
        <w:t>HL</w:t>
      </w:r>
      <w:r>
        <w:t xml:space="preserve"> 3 secondary system damage event.</w:t>
      </w:r>
      <w:r w:rsidR="00E442E7">
        <w:t xml:space="preserve"> </w:t>
      </w:r>
      <w:r>
        <w:t xml:space="preserve">The objective </w:t>
      </w:r>
      <w:r w:rsidR="00D91A53">
        <w:t xml:space="preserve">of </w:t>
      </w:r>
      <w:r w:rsidR="004A4DFB">
        <w:t>the wording used in CAAM</w:t>
      </w:r>
      <w:r w:rsidR="00D91A53">
        <w:t xml:space="preserve"> </w:t>
      </w:r>
      <w:r>
        <w:t>has been to more clearly define and separate those events that had a major impact on continued safe flight and landing from those with lesser consequences.</w:t>
      </w:r>
      <w:r w:rsidR="00DB248F">
        <w:br w:type="page"/>
      </w:r>
    </w:p>
    <w:p w14:paraId="11E37A3F" w14:textId="77777777" w:rsidR="004464D3" w:rsidRDefault="004464D3" w:rsidP="003568CF">
      <w:pPr>
        <w:pStyle w:val="Heading7"/>
      </w:pPr>
      <w:r w:rsidRPr="005860F4">
        <w:lastRenderedPageBreak/>
        <w:t>HISTORICAL COMPARISON OF HAZARD LEVEL DESCRIPTIONS</w:t>
      </w:r>
      <w:r>
        <w:t>.</w:t>
      </w:r>
    </w:p>
    <w:p w14:paraId="5ED586FF" w14:textId="7362D064" w:rsidR="000830CA" w:rsidRDefault="004464D3" w:rsidP="000830CA">
      <w:pPr>
        <w:pStyle w:val="Levels1-3-OneParagraphUnderHeading"/>
        <w:sectPr w:rsidR="000830CA" w:rsidSect="00762534">
          <w:headerReference w:type="even" r:id="rId32"/>
          <w:headerReference w:type="default" r:id="rId33"/>
          <w:footerReference w:type="default" r:id="rId34"/>
          <w:headerReference w:type="first" r:id="rId35"/>
          <w:pgSz w:w="12240" w:h="15840"/>
          <w:pgMar w:top="1440" w:right="1350" w:bottom="990" w:left="1440" w:header="720" w:footer="590" w:gutter="0"/>
          <w:pgNumType w:start="1" w:chapStyle="6"/>
          <w:cols w:space="720"/>
          <w:docGrid w:linePitch="326"/>
        </w:sectPr>
      </w:pPr>
      <w:r>
        <w:t xml:space="preserve">CAAM data has been collected over three </w:t>
      </w:r>
      <w:r w:rsidR="00470875">
        <w:t>periods</w:t>
      </w:r>
      <w:r w:rsidR="00D91A53">
        <w:t xml:space="preserve"> (1982-1991, 1992-2000, and 2001-2012)</w:t>
      </w:r>
      <w:r>
        <w:t>.</w:t>
      </w:r>
      <w:r w:rsidR="00E442E7">
        <w:t xml:space="preserve"> </w:t>
      </w:r>
      <w:proofErr w:type="gramStart"/>
      <w:r>
        <w:t>Subsequent to</w:t>
      </w:r>
      <w:proofErr w:type="gramEnd"/>
      <w:r>
        <w:t xml:space="preserve"> the initial CAAM</w:t>
      </w:r>
      <w:r w:rsidR="007910B6">
        <w:t xml:space="preserve"> </w:t>
      </w:r>
      <w:r>
        <w:t xml:space="preserve">1 report, some of the </w:t>
      </w:r>
      <w:r w:rsidR="00BE57AD">
        <w:t>HL</w:t>
      </w:r>
      <w:r>
        <w:t xml:space="preserve"> definitions have been revised based on lessons learned.</w:t>
      </w:r>
      <w:r w:rsidR="00E442E7">
        <w:t xml:space="preserve"> </w:t>
      </w:r>
      <w:r>
        <w:t>The definitions included in the latest CAAM report</w:t>
      </w:r>
      <w:r w:rsidR="00691382">
        <w:t>,</w:t>
      </w:r>
      <w:r>
        <w:t xml:space="preserve"> CAAM</w:t>
      </w:r>
      <w:r w:rsidR="007910B6">
        <w:t xml:space="preserve"> </w:t>
      </w:r>
      <w:r>
        <w:t>3</w:t>
      </w:r>
      <w:r w:rsidR="00691382">
        <w:t>,</w:t>
      </w:r>
      <w:r>
        <w:t xml:space="preserve"> are included in this AC.</w:t>
      </w:r>
    </w:p>
    <w:p w14:paraId="40A8C2BF" w14:textId="77777777" w:rsidR="00502B62" w:rsidRDefault="009B4CCE" w:rsidP="00762534">
      <w:pPr>
        <w:pStyle w:val="Heading6"/>
      </w:pPr>
      <w:r>
        <w:lastRenderedPageBreak/>
        <w:t>Hazard Ratio Development</w:t>
      </w:r>
    </w:p>
    <w:p w14:paraId="2543F89F" w14:textId="77777777" w:rsidR="00366D52" w:rsidRDefault="00366D52" w:rsidP="00FD7E7D">
      <w:pPr>
        <w:pStyle w:val="Heading7"/>
      </w:pPr>
      <w:r w:rsidRPr="00666AC1">
        <w:t>PURPOSE.</w:t>
      </w:r>
    </w:p>
    <w:p w14:paraId="3BA5C06E" w14:textId="77777777" w:rsidR="00366D52" w:rsidRDefault="00366D52" w:rsidP="00FD7E7D">
      <w:pPr>
        <w:pStyle w:val="Levels1-3-OneParagraphUnderHeading"/>
      </w:pPr>
      <w:r w:rsidRPr="00666AC1">
        <w:t>This appendix describes methodologies to estimate the hazard ratio for use in risk assessments.</w:t>
      </w:r>
    </w:p>
    <w:p w14:paraId="60D41F8A" w14:textId="77777777" w:rsidR="00366D52" w:rsidRDefault="005832B8" w:rsidP="00FD7E7D">
      <w:pPr>
        <w:pStyle w:val="Heading7"/>
      </w:pPr>
      <w:r>
        <w:t xml:space="preserve">APPLYING THE </w:t>
      </w:r>
      <w:r w:rsidR="009307C5">
        <w:t>hazard ratio</w:t>
      </w:r>
      <w:r w:rsidR="00366D52">
        <w:t>.</w:t>
      </w:r>
    </w:p>
    <w:p w14:paraId="44CADA55" w14:textId="6C907F1E" w:rsidR="00C073B4" w:rsidRDefault="00C073B4" w:rsidP="00C073B4">
      <w:pPr>
        <w:pStyle w:val="Levels1-3-OneParagraphUnderHeading"/>
      </w:pPr>
      <w:r>
        <w:t xml:space="preserve">The hazard ratio converts the basic event risk factor to a risk factor for </w:t>
      </w:r>
      <w:r w:rsidR="00BE57AD">
        <w:t>HL</w:t>
      </w:r>
      <w:r>
        <w:t>s 3, 4, and/or 5 events.</w:t>
      </w:r>
      <w:r w:rsidR="00E442E7">
        <w:t xml:space="preserve"> </w:t>
      </w:r>
      <w:r>
        <w:t>It does this by estimating the conditional probability of a</w:t>
      </w:r>
      <w:r w:rsidR="00A63B2D">
        <w:t>n</w:t>
      </w:r>
      <w:r>
        <w:t xml:space="preserve"> </w:t>
      </w:r>
      <w:r w:rsidR="00BE57AD">
        <w:t>HL</w:t>
      </w:r>
      <w:r w:rsidR="00267F31">
        <w:t>s</w:t>
      </w:r>
      <w:r w:rsidR="005D7E55">
        <w:t xml:space="preserve"> </w:t>
      </w:r>
      <w:r>
        <w:t>3, 4, and/or 5 event given the occurrence of the basic event.</w:t>
      </w:r>
      <w:r w:rsidR="00E442E7">
        <w:t xml:space="preserve"> </w:t>
      </w:r>
      <w:r w:rsidR="00813775">
        <w:t>The risk factor for the base event can be converted to a risk factor for a</w:t>
      </w:r>
      <w:r w:rsidR="00A63B2D">
        <w:t>n</w:t>
      </w:r>
      <w:r w:rsidR="00813775">
        <w:t xml:space="preserve"> </w:t>
      </w:r>
      <w:r w:rsidR="00BE57AD">
        <w:t>HL</w:t>
      </w:r>
      <w:r w:rsidR="00267F31">
        <w:t>s</w:t>
      </w:r>
      <w:r w:rsidR="00813775">
        <w:t xml:space="preserve"> 3, 4, and/or 5 event by multiplying the base event risk factor by the hazard ratio</w:t>
      </w:r>
      <w:r w:rsidR="006D23B3" w:rsidRPr="006D23B3">
        <w:t>. The HR for a given HL includes all events at that HL or higher. For example, HR3 is calculated by dividing the summation of all HL 3, 4, and 5 events by the total number of events. This ensures the correct evaluation against the risk guidelines, which are also designed for events at or above the specified HL.</w:t>
      </w:r>
    </w:p>
    <w:p w14:paraId="3526C99E" w14:textId="77777777" w:rsidR="00C073B4" w:rsidRDefault="00C073B4" w:rsidP="00C073B4">
      <w:pPr>
        <w:pStyle w:val="Heading7"/>
      </w:pPr>
      <w:r>
        <w:t>HAZARD RATIO DEVELOPMENT.</w:t>
      </w:r>
    </w:p>
    <w:p w14:paraId="2C118AF7" w14:textId="692F9179" w:rsidR="00C073B4" w:rsidRDefault="005832B8" w:rsidP="00C073B4">
      <w:pPr>
        <w:pStyle w:val="Levels1-3-OneParagraphUnderHeading"/>
      </w:pPr>
      <w:r>
        <w:t>Developing a hazard ratio will require considerable engineering judgment.</w:t>
      </w:r>
      <w:r w:rsidR="00E442E7">
        <w:t xml:space="preserve"> </w:t>
      </w:r>
      <w:r>
        <w:t>The hazard ratio strongly influences the quantitative assessment results and, therefore, should have a sufficient validation basis or be assessed conservatively.</w:t>
      </w:r>
      <w:r w:rsidR="00E442E7">
        <w:t xml:space="preserve"> </w:t>
      </w:r>
      <w:r w:rsidR="00BE57AD">
        <w:t>HL</w:t>
      </w:r>
      <w:r>
        <w:t xml:space="preserve">s are used for levels 3, 4, and/or 5, as is appropriate to establish </w:t>
      </w:r>
      <w:r w:rsidR="00D91A53">
        <w:t>a</w:t>
      </w:r>
      <w:r>
        <w:t xml:space="preserve"> comparison of the risk of the unsafe condition to the guidelines.</w:t>
      </w:r>
      <w:r w:rsidR="00E442E7">
        <w:t xml:space="preserve"> </w:t>
      </w:r>
      <w:r w:rsidR="00C073B4" w:rsidRPr="00C073B4">
        <w:t xml:space="preserve">The following methods should be employed to </w:t>
      </w:r>
      <w:r w:rsidR="00440E4D">
        <w:t>calculate</w:t>
      </w:r>
      <w:r w:rsidR="00440E4D" w:rsidRPr="00C073B4">
        <w:t xml:space="preserve"> </w:t>
      </w:r>
      <w:r w:rsidR="00C073B4" w:rsidRPr="00C073B4">
        <w:t xml:space="preserve">the hazard ratio for a given </w:t>
      </w:r>
      <w:r w:rsidR="00BE57AD">
        <w:t>HL</w:t>
      </w:r>
      <w:r w:rsidR="00C073B4" w:rsidRPr="00C073B4">
        <w:t xml:space="preserve"> X</w:t>
      </w:r>
      <w:r w:rsidR="00207DFC">
        <w:t xml:space="preserve"> </w:t>
      </w:r>
      <w:r w:rsidR="00440E4D">
        <w:t>event</w:t>
      </w:r>
      <w:r w:rsidR="00E72FC4">
        <w:t xml:space="preserve">, where </w:t>
      </w:r>
      <w:r w:rsidR="00D91A53">
        <w:t xml:space="preserve">X represents either </w:t>
      </w:r>
      <w:r w:rsidR="00BE57AD">
        <w:t>HL</w:t>
      </w:r>
      <w:r w:rsidR="00267F31">
        <w:t>s</w:t>
      </w:r>
      <w:r w:rsidR="00D91A53">
        <w:t xml:space="preserve"> 3, 4, or 5 depending on the assessment</w:t>
      </w:r>
      <w:r w:rsidR="00C073B4" w:rsidRPr="00C073B4">
        <w:t>:</w:t>
      </w:r>
    </w:p>
    <w:p w14:paraId="380CF408" w14:textId="77777777" w:rsidR="00C073B4" w:rsidRDefault="00B03A14" w:rsidP="00E652EF">
      <w:pPr>
        <w:pStyle w:val="Heading8"/>
      </w:pPr>
      <w:r w:rsidRPr="008267C6">
        <w:rPr>
          <w:rStyle w:val="Lead-in-Bold"/>
        </w:rPr>
        <w:t xml:space="preserve">If at </w:t>
      </w:r>
      <w:r w:rsidR="00C073B4" w:rsidRPr="008267C6">
        <w:rPr>
          <w:rStyle w:val="Lead-in-Bold"/>
        </w:rPr>
        <w:t>least one level X or higher event has occurred</w:t>
      </w:r>
      <w:r w:rsidR="00E72602">
        <w:t>.</w:t>
      </w:r>
    </w:p>
    <w:p w14:paraId="63FAA9A0" w14:textId="77777777" w:rsidR="008A0105" w:rsidRPr="008A0105" w:rsidRDefault="00C073B4" w:rsidP="00202430">
      <w:pPr>
        <w:pStyle w:val="Heading9"/>
        <w:rPr>
          <w:rStyle w:val="Lead-in-Underlinenobold"/>
          <w:u w:val="none"/>
        </w:rPr>
      </w:pPr>
      <w:r w:rsidRPr="001F3102">
        <w:rPr>
          <w:rStyle w:val="Lead-in-Underlinenobold"/>
        </w:rPr>
        <w:t>Data.</w:t>
      </w:r>
    </w:p>
    <w:p w14:paraId="224A4D59" w14:textId="45801BB8" w:rsidR="00C073B4" w:rsidRDefault="00413CDB" w:rsidP="00053EC7">
      <w:pPr>
        <w:pStyle w:val="Levels1-3-OneParagraphUnderHeading"/>
      </w:pPr>
      <w:r>
        <w:t>U</w:t>
      </w:r>
      <w:r w:rsidR="00C073B4" w:rsidRPr="00C073B4">
        <w:t>se the value obtained by dividing the number of level X or higher events by the total number of events.</w:t>
      </w:r>
      <w:r w:rsidR="00E442E7">
        <w:t xml:space="preserve"> </w:t>
      </w:r>
      <w:r w:rsidR="00C073B4" w:rsidRPr="00C073B4">
        <w:t>If the latest event used in the calculation was not level X or higher, add one additional level X event and one additional event to the totals</w:t>
      </w:r>
      <w:r w:rsidR="003D0F62">
        <w:t>.</w:t>
      </w:r>
      <w:r w:rsidR="00E442E7">
        <w:t xml:space="preserve"> </w:t>
      </w:r>
      <w:r w:rsidR="003D0F62">
        <w:t>For example,</w:t>
      </w:r>
      <w:r w:rsidR="00C073B4">
        <w:t xml:space="preserve"> </w:t>
      </w:r>
      <w:r w:rsidR="003D0F62">
        <w:t>one out of four total (</w:t>
      </w:r>
      <w:r w:rsidR="00C073B4">
        <w:t>1:4</w:t>
      </w:r>
      <w:r w:rsidR="003D0F62">
        <w:t>)</w:t>
      </w:r>
      <w:r w:rsidR="00C073B4">
        <w:t xml:space="preserve"> becomes 2:5</w:t>
      </w:r>
      <w:r w:rsidR="00C073B4" w:rsidRPr="00C073B4">
        <w:t>.</w:t>
      </w:r>
      <w:r w:rsidR="00E442E7">
        <w:t xml:space="preserve"> </w:t>
      </w:r>
      <w:r w:rsidR="00C073B4" w:rsidRPr="00C073B4">
        <w:t>The addition of another event is to provide an element of conservatism for the true value of the hazard ratio as estimated by the data to date.</w:t>
      </w:r>
      <w:r w:rsidR="00E442E7">
        <w:t xml:space="preserve"> </w:t>
      </w:r>
      <w:r w:rsidR="00C073B4" w:rsidRPr="00C073B4">
        <w:t>Alternatively, use the ratio obtained by counting only the events up to and including the most-recent level X event.</w:t>
      </w:r>
      <w:r w:rsidR="00E442E7">
        <w:t xml:space="preserve"> </w:t>
      </w:r>
      <w:r w:rsidR="00C073B4" w:rsidRPr="00C073B4">
        <w:t>For example, a history of 6 events, in the sequence 0 0 X 0 0 0, would result in a level X hazard ratio of 1:3 at the time the last level X occurred as opposed to assuming an additional event for a hazard ratio of 2:7.</w:t>
      </w:r>
      <w:r w:rsidR="00E442E7">
        <w:t xml:space="preserve"> </w:t>
      </w:r>
      <w:r w:rsidR="00C073B4" w:rsidRPr="00C073B4">
        <w:t>This method may be used when it produces a more conservative result</w:t>
      </w:r>
      <w:r w:rsidR="00C073B4">
        <w:t xml:space="preserve">, </w:t>
      </w:r>
      <w:r w:rsidR="00C073B4" w:rsidRPr="00C073B4">
        <w:t xml:space="preserve">as </w:t>
      </w:r>
      <w:r w:rsidR="00C073B4">
        <w:t xml:space="preserve">depicted </w:t>
      </w:r>
      <w:r w:rsidR="00C073B4" w:rsidRPr="00C073B4">
        <w:t>in the example above.</w:t>
      </w:r>
    </w:p>
    <w:p w14:paraId="17860A3A" w14:textId="77777777" w:rsidR="008A0105" w:rsidRPr="004970E2" w:rsidRDefault="00C073B4" w:rsidP="00207DFC">
      <w:pPr>
        <w:pStyle w:val="Heading9"/>
        <w:rPr>
          <w:rStyle w:val="Lead-in-Underlinenobold"/>
          <w:u w:val="none"/>
        </w:rPr>
      </w:pPr>
      <w:r w:rsidRPr="001F3102">
        <w:rPr>
          <w:rStyle w:val="Lead-in-Underlinenobold"/>
        </w:rPr>
        <w:t>Analysis.</w:t>
      </w:r>
    </w:p>
    <w:p w14:paraId="0C432412" w14:textId="530CDB73" w:rsidR="00B03A14" w:rsidRDefault="00C073B4" w:rsidP="00DD1A01">
      <w:pPr>
        <w:pStyle w:val="Levels1-3-OneParagraphUnderHeading"/>
      </w:pPr>
      <w:r w:rsidRPr="007202C2">
        <w:t xml:space="preserve">If </w:t>
      </w:r>
      <w:r w:rsidR="00D02BDE" w:rsidRPr="007202C2">
        <w:t xml:space="preserve">the true hazard ratio can be calculated by </w:t>
      </w:r>
      <w:r w:rsidRPr="007202C2">
        <w:t>analysis</w:t>
      </w:r>
      <w:r w:rsidR="00D02BDE" w:rsidRPr="007202C2">
        <w:t>, then</w:t>
      </w:r>
      <w:r w:rsidRPr="007202C2">
        <w:t xml:space="preserve"> that </w:t>
      </w:r>
      <w:r w:rsidR="00B03A14" w:rsidRPr="007202C2">
        <w:t>ratio may be used</w:t>
      </w:r>
      <w:r w:rsidR="00D02BDE" w:rsidRPr="007202C2">
        <w:t>.</w:t>
      </w:r>
      <w:r w:rsidR="00E442E7" w:rsidRPr="007202C2">
        <w:t xml:space="preserve"> </w:t>
      </w:r>
      <w:r w:rsidR="00D02BDE" w:rsidRPr="007202C2">
        <w:t>For example,</w:t>
      </w:r>
      <w:r w:rsidRPr="007202C2">
        <w:t xml:space="preserve"> </w:t>
      </w:r>
      <w:r>
        <w:t xml:space="preserve">for a particular airplane, a propeller blade will pass through the fuselage if it is </w:t>
      </w:r>
      <w:r>
        <w:lastRenderedPageBreak/>
        <w:t>released within a given 90</w:t>
      </w:r>
      <w:r w:rsidRPr="00D02BDE">
        <w:rPr>
          <w:vertAlign w:val="superscript"/>
        </w:rPr>
        <w:t>o</w:t>
      </w:r>
      <w:r>
        <w:t xml:space="preserve"> arc.</w:t>
      </w:r>
      <w:r w:rsidR="00E442E7">
        <w:t xml:space="preserve"> </w:t>
      </w:r>
      <w:r>
        <w:t>The hazard ratio</w:t>
      </w:r>
      <w:r w:rsidR="002B5800">
        <w:t>,</w:t>
      </w:r>
      <w:r>
        <w:t xml:space="preserve"> assuming </w:t>
      </w:r>
      <w:r w:rsidR="00BE57AD">
        <w:t>HL</w:t>
      </w:r>
      <w:r>
        <w:t xml:space="preserve"> 4 for serious injury to passengers seated in the plane of the propeller</w:t>
      </w:r>
      <w:r w:rsidR="002B5800">
        <w:t>,</w:t>
      </w:r>
      <w:r>
        <w:t xml:space="preserve"> would then be 90</w:t>
      </w:r>
      <w:r w:rsidRPr="00D02BDE">
        <w:rPr>
          <w:vertAlign w:val="superscript"/>
        </w:rPr>
        <w:t>o</w:t>
      </w:r>
      <w:r>
        <w:t>/360</w:t>
      </w:r>
      <w:r w:rsidRPr="00D02BDE">
        <w:rPr>
          <w:vertAlign w:val="superscript"/>
        </w:rPr>
        <w:t>o</w:t>
      </w:r>
      <w:r w:rsidR="008A12F4" w:rsidRPr="00D02BDE">
        <w:rPr>
          <w:vertAlign w:val="superscript"/>
        </w:rPr>
        <w:t xml:space="preserve"> </w:t>
      </w:r>
      <w:r>
        <w:t>=</w:t>
      </w:r>
      <w:r w:rsidR="008A12F4">
        <w:t xml:space="preserve"> </w:t>
      </w:r>
      <w:r>
        <w:t xml:space="preserve">0.25 </w:t>
      </w:r>
      <w:r w:rsidR="00BE57AD">
        <w:t>HL</w:t>
      </w:r>
      <w:r>
        <w:t xml:space="preserve"> 4 events given a blade release.</w:t>
      </w:r>
      <w:r w:rsidR="00E442E7">
        <w:t xml:space="preserve"> </w:t>
      </w:r>
      <w:r>
        <w:t xml:space="preserve">This method has </w:t>
      </w:r>
      <w:proofErr w:type="gramStart"/>
      <w:r>
        <w:t>particular value</w:t>
      </w:r>
      <w:proofErr w:type="gramEnd"/>
      <w:r>
        <w:t xml:space="preserve"> whe</w:t>
      </w:r>
      <w:r w:rsidR="006D23B3">
        <w:t>n</w:t>
      </w:r>
      <w:r>
        <w:t xml:space="preserve"> little data exists.</w:t>
      </w:r>
    </w:p>
    <w:p w14:paraId="06CB8795" w14:textId="77777777" w:rsidR="001F3102" w:rsidRPr="001F3102" w:rsidRDefault="00B03A14" w:rsidP="001F3102">
      <w:pPr>
        <w:pStyle w:val="Levels1-3-Note"/>
      </w:pPr>
      <w:r w:rsidRPr="001F3102">
        <w:t>W</w:t>
      </w:r>
      <w:r w:rsidR="00C073B4" w:rsidRPr="001F3102">
        <w:t>hen the hazard ratio obtained by analysis is significantly different than what would be calculated from the observed data, it is strongly suggested that the observed data be used to establish the hazard ratio.</w:t>
      </w:r>
    </w:p>
    <w:p w14:paraId="491D05B7" w14:textId="77777777" w:rsidR="0017071E" w:rsidRPr="00207DFC" w:rsidRDefault="002B5800" w:rsidP="001F3102">
      <w:pPr>
        <w:pStyle w:val="Heading8"/>
        <w:rPr>
          <w:rStyle w:val="Lead-in-Bold"/>
          <w:b w:val="0"/>
          <w:szCs w:val="20"/>
        </w:rPr>
      </w:pPr>
      <w:r w:rsidRPr="008267C6">
        <w:rPr>
          <w:rStyle w:val="Lead-in-Bold"/>
        </w:rPr>
        <w:t xml:space="preserve">If no </w:t>
      </w:r>
      <w:r w:rsidR="00C073B4" w:rsidRPr="008267C6">
        <w:rPr>
          <w:rStyle w:val="Lead-in-Bold"/>
        </w:rPr>
        <w:t>level X or higher events have occurred</w:t>
      </w:r>
      <w:r w:rsidR="001F3102">
        <w:rPr>
          <w:rStyle w:val="Lead-in-Bold"/>
        </w:rPr>
        <w:t>.</w:t>
      </w:r>
    </w:p>
    <w:p w14:paraId="79712C39" w14:textId="77777777" w:rsidR="00E90FAD" w:rsidRPr="004970E2" w:rsidRDefault="00C073B4" w:rsidP="001F3102">
      <w:pPr>
        <w:pStyle w:val="Heading9"/>
        <w:rPr>
          <w:rStyle w:val="Lead-in-Underlinenobold"/>
          <w:u w:val="none"/>
        </w:rPr>
      </w:pPr>
      <w:r w:rsidRPr="001F3102">
        <w:rPr>
          <w:rStyle w:val="Lead-in-Underlinenobold"/>
        </w:rPr>
        <w:t>Historical data.</w:t>
      </w:r>
    </w:p>
    <w:p w14:paraId="05BA7262" w14:textId="256AC12B" w:rsidR="00C073B4" w:rsidRDefault="002B5800" w:rsidP="00D02BDE">
      <w:pPr>
        <w:pStyle w:val="Levels1-3-OneParagraphUnderHeading"/>
      </w:pPr>
      <w:r>
        <w:t xml:space="preserve">Use appendix </w:t>
      </w:r>
      <w:r w:rsidR="0089111C">
        <w:t xml:space="preserve">D </w:t>
      </w:r>
      <w:r w:rsidR="00C073B4">
        <w:t xml:space="preserve">of this AC and the CAAM </w:t>
      </w:r>
      <w:r w:rsidR="00341C41">
        <w:t xml:space="preserve">reports </w:t>
      </w:r>
      <w:r>
        <w:t xml:space="preserve">to </w:t>
      </w:r>
      <w:r w:rsidR="00C073B4">
        <w:t xml:space="preserve">provide </w:t>
      </w:r>
      <w:r>
        <w:t xml:space="preserve">historical </w:t>
      </w:r>
      <w:r w:rsidR="00C073B4">
        <w:t xml:space="preserve">hazard ratios for </w:t>
      </w:r>
      <w:r w:rsidR="00BE57AD">
        <w:t>HL</w:t>
      </w:r>
      <w:r w:rsidR="00C073B4">
        <w:t>s 3, 4</w:t>
      </w:r>
      <w:r w:rsidR="004056BB">
        <w:t>,</w:t>
      </w:r>
      <w:r w:rsidR="00C073B4">
        <w:t xml:space="preserve"> and 5 events.</w:t>
      </w:r>
      <w:r w:rsidR="00E442E7">
        <w:t xml:space="preserve"> </w:t>
      </w:r>
      <w:r w:rsidR="00C073B4">
        <w:t>These historical hazard ratios should be regarded as the primary source of hazard ratios in the absence of sufficient data or analysis specific to the unsafe condition under analysis.</w:t>
      </w:r>
      <w:r w:rsidR="00E442E7">
        <w:t xml:space="preserve"> </w:t>
      </w:r>
      <w:r w:rsidR="00C073B4">
        <w:t>However, they should be used cautiously.</w:t>
      </w:r>
      <w:r w:rsidR="00E442E7">
        <w:t xml:space="preserve"> </w:t>
      </w:r>
      <w:r w:rsidR="00C073B4">
        <w:t xml:space="preserve">The hazard ratio is installation </w:t>
      </w:r>
      <w:r w:rsidR="00862EC7">
        <w:t>dependent,</w:t>
      </w:r>
      <w:r w:rsidR="00C073B4">
        <w:t xml:space="preserve"> and the historical hazard ratio may be skewed by the historical data available for the affected </w:t>
      </w:r>
      <w:r w:rsidR="000063F1">
        <w:t xml:space="preserve">airplane </w:t>
      </w:r>
      <w:r w:rsidR="00C073B4">
        <w:t>installation.</w:t>
      </w:r>
      <w:r w:rsidR="00E442E7">
        <w:t xml:space="preserve"> </w:t>
      </w:r>
      <w:r w:rsidR="00C073B4">
        <w:t>Reading the summaries of the events from which the hazard ratios were developed will provide valuable insight into the applicability of the data.</w:t>
      </w:r>
      <w:r w:rsidR="00E442E7">
        <w:t xml:space="preserve"> </w:t>
      </w:r>
      <w:r w:rsidR="00297AEF">
        <w:t>See</w:t>
      </w:r>
      <w:r w:rsidR="00C073B4">
        <w:t xml:space="preserve"> </w:t>
      </w:r>
      <w:r w:rsidR="00297AEF">
        <w:t xml:space="preserve">CAAM reports </w:t>
      </w:r>
      <w:r w:rsidR="00A70B5A">
        <w:t xml:space="preserve">referenced in paragraph </w:t>
      </w:r>
      <w:r w:rsidR="00C01B55">
        <w:t>5</w:t>
      </w:r>
      <w:r w:rsidR="00A70B5A">
        <w:t xml:space="preserve"> </w:t>
      </w:r>
      <w:r w:rsidR="00297AEF">
        <w:t>for</w:t>
      </w:r>
      <w:r w:rsidR="00C073B4">
        <w:t xml:space="preserve"> event summaries</w:t>
      </w:r>
      <w:r w:rsidR="00297AEF">
        <w:t>.</w:t>
      </w:r>
      <w:r w:rsidR="00E442E7">
        <w:t xml:space="preserve"> </w:t>
      </w:r>
      <w:r w:rsidR="00297AEF">
        <w:t>Below are s</w:t>
      </w:r>
      <w:r w:rsidR="00C073B4">
        <w:t>ome examples of the installation dependency of the hazard ratio for illustration</w:t>
      </w:r>
      <w:r w:rsidR="00297AEF">
        <w:t xml:space="preserve"> purposes</w:t>
      </w:r>
      <w:r w:rsidR="00C073B4">
        <w:t>:</w:t>
      </w:r>
    </w:p>
    <w:p w14:paraId="5CC2CDD3" w14:textId="5088EA61" w:rsidR="00C073B4" w:rsidRDefault="00B578C3" w:rsidP="00B578C3">
      <w:pPr>
        <w:pStyle w:val="Levels1-3-Bullet"/>
      </w:pPr>
      <w:r>
        <w:t>Engine separation.</w:t>
      </w:r>
      <w:r w:rsidR="00E442E7">
        <w:t xml:space="preserve"> </w:t>
      </w:r>
      <w:r>
        <w:t xml:space="preserve">There are </w:t>
      </w:r>
      <w:proofErr w:type="gramStart"/>
      <w:r>
        <w:t>a</w:t>
      </w:r>
      <w:r w:rsidR="0089111C">
        <w:t xml:space="preserve"> large number of</w:t>
      </w:r>
      <w:proofErr w:type="gramEnd"/>
      <w:r w:rsidR="0089111C">
        <w:t xml:space="preserve"> examples of engine separation in</w:t>
      </w:r>
      <w:r w:rsidR="00832D32">
        <w:t>-</w:t>
      </w:r>
      <w:r w:rsidR="0089111C">
        <w:t xml:space="preserve">flight on older </w:t>
      </w:r>
      <w:r w:rsidR="000063F1">
        <w:t>airplane</w:t>
      </w:r>
      <w:r w:rsidR="00A26EEB">
        <w:t>s</w:t>
      </w:r>
      <w:r w:rsidR="000063F1">
        <w:t xml:space="preserve"> </w:t>
      </w:r>
      <w:r w:rsidR="00666AC1">
        <w:t xml:space="preserve">without adverse effects </w:t>
      </w:r>
      <w:r w:rsidR="0089111C">
        <w:t xml:space="preserve">on </w:t>
      </w:r>
      <w:r w:rsidR="000063F1">
        <w:t xml:space="preserve">airplane </w:t>
      </w:r>
      <w:r w:rsidR="0089111C">
        <w:t>control.</w:t>
      </w:r>
      <w:r w:rsidR="00E442E7">
        <w:t xml:space="preserve"> </w:t>
      </w:r>
      <w:r w:rsidR="000063F1">
        <w:t>Airplane</w:t>
      </w:r>
      <w:r w:rsidR="00A26EEB">
        <w:t>s</w:t>
      </w:r>
      <w:r w:rsidR="000063F1">
        <w:t xml:space="preserve"> </w:t>
      </w:r>
      <w:r w:rsidR="00832D32">
        <w:t>designed recently have encountered difficulties after the separation</w:t>
      </w:r>
      <w:r w:rsidR="0089111C">
        <w:t xml:space="preserve"> </w:t>
      </w:r>
      <w:r w:rsidR="00832D32">
        <w:t>of high bypass ratio engines</w:t>
      </w:r>
      <w:r w:rsidR="0089111C">
        <w:t>, although designed with the same intent of allowing safe separation.</w:t>
      </w:r>
      <w:r w:rsidR="00E442E7">
        <w:t xml:space="preserve"> </w:t>
      </w:r>
      <w:r w:rsidR="0089111C">
        <w:t>Separation of a wing-mounted engine may have very different consequences than separation of a tail-mounted engine.</w:t>
      </w:r>
    </w:p>
    <w:p w14:paraId="385F08A5" w14:textId="6BF53707" w:rsidR="00297AEF" w:rsidRPr="00CC198F" w:rsidRDefault="00B578C3" w:rsidP="00CC198F">
      <w:pPr>
        <w:pStyle w:val="Levels1-3-Bullet"/>
        <w:rPr>
          <w:rStyle w:val="Heading9Char"/>
          <w:iCs w:val="0"/>
        </w:rPr>
      </w:pPr>
      <w:r>
        <w:t>Uncontained rotor.</w:t>
      </w:r>
      <w:r w:rsidR="00E442E7">
        <w:t xml:space="preserve"> </w:t>
      </w:r>
      <w:r w:rsidR="00297AEF">
        <w:t xml:space="preserve">The potential effect of an uncontained rotor depends largely upon the airplane systems in the plane of the rotor and </w:t>
      </w:r>
      <w:r w:rsidR="004A4DFB">
        <w:t xml:space="preserve">their </w:t>
      </w:r>
      <w:r w:rsidR="00297AEF">
        <w:t>proximity to the engines.</w:t>
      </w:r>
      <w:r w:rsidR="00E442E7">
        <w:t xml:space="preserve"> </w:t>
      </w:r>
      <w:r w:rsidR="00297AEF">
        <w:t>The effects may be very different for a wing-mounted installation and a fuselage-mounted installation.</w:t>
      </w:r>
    </w:p>
    <w:p w14:paraId="30DB787C" w14:textId="77777777" w:rsidR="0017071E" w:rsidRPr="00D02BDE" w:rsidRDefault="0017071E">
      <w:pPr>
        <w:pStyle w:val="Heading9"/>
        <w:rPr>
          <w:rStyle w:val="Lead-in-Underlinenobold"/>
          <w:iCs w:val="0"/>
          <w:szCs w:val="24"/>
        </w:rPr>
      </w:pPr>
      <w:bookmarkStart w:id="35" w:name="_Hlk151977671"/>
      <w:r w:rsidRPr="00D02BDE">
        <w:rPr>
          <w:rStyle w:val="Lead-in-Underlinenobold"/>
        </w:rPr>
        <w:t>The n</w:t>
      </w:r>
      <w:r w:rsidR="00297AEF" w:rsidRPr="00D02BDE">
        <w:rPr>
          <w:rStyle w:val="Lead-in-Underlinenobold"/>
        </w:rPr>
        <w:t>ext event assumption.</w:t>
      </w:r>
      <w:bookmarkStart w:id="36" w:name="Feedback_Form"/>
      <w:bookmarkStart w:id="37" w:name="_Ref355770891"/>
    </w:p>
    <w:p w14:paraId="6EA9FF04" w14:textId="4C668474" w:rsidR="00B578C3" w:rsidRDefault="00C36CB9" w:rsidP="00D02BDE">
      <w:pPr>
        <w:pStyle w:val="Levels1-3-Bullet"/>
      </w:pPr>
      <w:r w:rsidRPr="000B5AB6">
        <w:t>N</w:t>
      </w:r>
      <w:r w:rsidR="00297AEF" w:rsidRPr="002F220B">
        <w:t>o</w:t>
      </w:r>
      <w:r w:rsidR="005464EE">
        <w:t xml:space="preserve"> </w:t>
      </w:r>
      <w:r w:rsidR="00BE57AD">
        <w:t>HL</w:t>
      </w:r>
      <w:r w:rsidR="00297AEF" w:rsidRPr="002F220B">
        <w:t xml:space="preserve"> 3 or higher events.</w:t>
      </w:r>
      <w:r w:rsidR="00E442E7">
        <w:t xml:space="preserve"> </w:t>
      </w:r>
      <w:r w:rsidR="00297AEF" w:rsidRPr="002F220B">
        <w:t>Whe</w:t>
      </w:r>
      <w:r w:rsidRPr="000E3387">
        <w:t>n</w:t>
      </w:r>
      <w:r w:rsidR="00297AEF" w:rsidRPr="004471E9">
        <w:t xml:space="preserve"> no</w:t>
      </w:r>
      <w:r w:rsidR="00297AEF" w:rsidRPr="005A044A">
        <w:t xml:space="preserve"> </w:t>
      </w:r>
      <w:r w:rsidR="00BE57AD">
        <w:t>HL</w:t>
      </w:r>
      <w:r w:rsidR="00297AEF">
        <w:t xml:space="preserve"> 3 or higher event has occurred, and no historical data </w:t>
      </w:r>
      <w:r w:rsidR="00D53BD5">
        <w:t xml:space="preserve">is </w:t>
      </w:r>
      <w:r w:rsidR="00297AEF">
        <w:t>available or suitable</w:t>
      </w:r>
      <w:r>
        <w:t>, a</w:t>
      </w:r>
      <w:r w:rsidR="00297AEF">
        <w:t xml:space="preserve"> conservative hazard ratio may be established by assuming the next event would be </w:t>
      </w:r>
      <w:r w:rsidR="00BE57AD">
        <w:t>HL</w:t>
      </w:r>
      <w:r w:rsidR="00297AEF">
        <w:t xml:space="preserve"> 3 or higher</w:t>
      </w:r>
      <w:r w:rsidR="005A769A">
        <w:t>.</w:t>
      </w:r>
      <w:r w:rsidR="00E442E7">
        <w:t xml:space="preserve"> </w:t>
      </w:r>
      <w:r w:rsidR="005A769A">
        <w:t>For example, zero out of 4</w:t>
      </w:r>
      <w:r w:rsidR="00297AEF">
        <w:t xml:space="preserve"> </w:t>
      </w:r>
      <w:r w:rsidR="005A769A">
        <w:t>(</w:t>
      </w:r>
      <w:r w:rsidR="00297AEF">
        <w:t>0:4</w:t>
      </w:r>
      <w:r w:rsidR="005A769A">
        <w:t>)</w:t>
      </w:r>
      <w:r w:rsidR="00297AEF">
        <w:t xml:space="preserve"> becomes 1:5.</w:t>
      </w:r>
      <w:r w:rsidR="00E442E7">
        <w:t xml:space="preserve"> </w:t>
      </w:r>
      <w:r w:rsidR="00297AEF">
        <w:t>There may be cases where this method is overly conservative</w:t>
      </w:r>
      <w:r w:rsidR="0091157F">
        <w:t xml:space="preserve"> and may not be appropriate to use</w:t>
      </w:r>
      <w:r w:rsidR="005379E4">
        <w:t xml:space="preserve"> if it conflicts with the observed physics of the failure(s)</w:t>
      </w:r>
      <w:r w:rsidR="00297AEF">
        <w:t>.</w:t>
      </w:r>
      <w:r w:rsidR="00E442E7">
        <w:t xml:space="preserve"> </w:t>
      </w:r>
      <w:r w:rsidR="00297AEF">
        <w:t>Calculate only the</w:t>
      </w:r>
      <w:r w:rsidR="005464EE">
        <w:t xml:space="preserve"> </w:t>
      </w:r>
      <w:r w:rsidR="00BE57AD">
        <w:t>HL</w:t>
      </w:r>
      <w:r w:rsidR="00297AEF">
        <w:t xml:space="preserve"> 3</w:t>
      </w:r>
      <w:r w:rsidR="008A0105">
        <w:t xml:space="preserve"> hazard ratio</w:t>
      </w:r>
      <w:r w:rsidR="00297AEF">
        <w:t xml:space="preserve"> </w:t>
      </w:r>
      <w:r w:rsidR="008A0105">
        <w:t>(</w:t>
      </w:r>
      <w:r w:rsidR="00297AEF">
        <w:t>HR</w:t>
      </w:r>
      <w:r w:rsidR="008A0105">
        <w:t>)</w:t>
      </w:r>
      <w:r w:rsidR="00297AEF">
        <w:t xml:space="preserve"> unless there is reason to suspect a significant risk of a</w:t>
      </w:r>
      <w:r w:rsidR="00A63B2D">
        <w:t>n</w:t>
      </w:r>
      <w:r w:rsidR="00D66297">
        <w:t xml:space="preserve"> </w:t>
      </w:r>
      <w:r w:rsidR="00BE57AD">
        <w:t>HL</w:t>
      </w:r>
      <w:r w:rsidR="00297AEF">
        <w:t xml:space="preserve"> 4 or higher outcome.</w:t>
      </w:r>
    </w:p>
    <w:p w14:paraId="0AA931B8" w14:textId="29FD2CBB" w:rsidR="00CF5D9A" w:rsidRDefault="00C36CB9" w:rsidP="00D02BDE">
      <w:pPr>
        <w:pStyle w:val="Levels1-3-Bullet"/>
      </w:pPr>
      <w:r w:rsidRPr="001F3102">
        <w:t>O</w:t>
      </w:r>
      <w:r w:rsidR="00B578C3" w:rsidRPr="001F3102">
        <w:t xml:space="preserve">ne or more </w:t>
      </w:r>
      <w:r w:rsidR="00BE57AD">
        <w:t>HL</w:t>
      </w:r>
      <w:r w:rsidR="00B578C3" w:rsidRPr="001F3102">
        <w:t xml:space="preserve"> 3 events</w:t>
      </w:r>
      <w:r w:rsidR="00064365" w:rsidRPr="001F3102">
        <w:t xml:space="preserve"> has occurred,</w:t>
      </w:r>
      <w:r w:rsidR="00B578C3" w:rsidRPr="001F3102">
        <w:t xml:space="preserve"> but no </w:t>
      </w:r>
      <w:r w:rsidR="00BE57AD">
        <w:t>HL</w:t>
      </w:r>
      <w:r w:rsidR="00B578C3" w:rsidRPr="001F3102">
        <w:t xml:space="preserve"> 4 or higher events.</w:t>
      </w:r>
      <w:r w:rsidR="00E442E7">
        <w:t xml:space="preserve"> </w:t>
      </w:r>
      <w:r w:rsidR="00064365" w:rsidRPr="00064365">
        <w:t>First,</w:t>
      </w:r>
      <w:r w:rsidR="00B578C3" w:rsidRPr="00064365">
        <w:t xml:space="preserve"> calculate the </w:t>
      </w:r>
      <w:r w:rsidR="00BE57AD">
        <w:t>HL</w:t>
      </w:r>
      <w:r w:rsidR="00B578C3" w:rsidRPr="00064365">
        <w:t xml:space="preserve"> 3 HR as described under </w:t>
      </w:r>
      <w:r w:rsidR="004F6C86">
        <w:t>paragraph C.3.1</w:t>
      </w:r>
      <w:r w:rsidR="00B578C3" w:rsidRPr="00064365">
        <w:t>.</w:t>
      </w:r>
      <w:r w:rsidR="00E442E7">
        <w:t xml:space="preserve"> </w:t>
      </w:r>
      <w:r w:rsidR="00B578C3" w:rsidRPr="00064365">
        <w:t>Next, calculate a hazard ratio for</w:t>
      </w:r>
      <w:r w:rsidR="00D66297">
        <w:t xml:space="preserve"> </w:t>
      </w:r>
      <w:r w:rsidR="00BE57AD">
        <w:t>HL</w:t>
      </w:r>
      <w:r w:rsidR="00B578C3" w:rsidRPr="00064365">
        <w:t xml:space="preserve"> 4 or higher</w:t>
      </w:r>
      <w:r w:rsidR="00E71F5A">
        <w:t>,</w:t>
      </w:r>
      <w:r w:rsidR="00B578C3" w:rsidRPr="00064365">
        <w:t xml:space="preserve"> give</w:t>
      </w:r>
      <w:r w:rsidR="004F6C86">
        <w:t>n</w:t>
      </w:r>
      <w:r w:rsidR="00B578C3" w:rsidRPr="00064365">
        <w:t xml:space="preserve"> that a</w:t>
      </w:r>
      <w:r w:rsidR="00A63B2D">
        <w:t>n</w:t>
      </w:r>
      <w:r w:rsidR="00B578C3" w:rsidRPr="00064365">
        <w:t xml:space="preserve"> </w:t>
      </w:r>
      <w:r w:rsidR="00BE57AD">
        <w:t>HL</w:t>
      </w:r>
      <w:r w:rsidR="00B578C3" w:rsidRPr="00064365">
        <w:t xml:space="preserve"> 3 event has occurred (L4:L3 HR).</w:t>
      </w:r>
      <w:r w:rsidR="00E442E7">
        <w:t xml:space="preserve"> </w:t>
      </w:r>
      <w:r w:rsidR="00B578C3" w:rsidRPr="00064365">
        <w:t xml:space="preserve">Accomplish this by assuming the next </w:t>
      </w:r>
      <w:r w:rsidR="00BE57AD">
        <w:t>HL</w:t>
      </w:r>
      <w:r w:rsidR="00B578C3" w:rsidRPr="00064365">
        <w:t xml:space="preserve"> 3 event will be </w:t>
      </w:r>
      <w:r w:rsidR="00BE57AD">
        <w:t>HL</w:t>
      </w:r>
      <w:r w:rsidR="00B578C3" w:rsidRPr="00064365">
        <w:t xml:space="preserve"> 4 and calculate that value.</w:t>
      </w:r>
      <w:r w:rsidR="00E442E7">
        <w:t xml:space="preserve"> </w:t>
      </w:r>
      <w:r w:rsidR="00B578C3" w:rsidRPr="00064365">
        <w:t xml:space="preserve">Finally, multiply the L3 HR by the L4:L3 HR to obtain the level 4 HR ratio from the base </w:t>
      </w:r>
      <w:r w:rsidR="00B578C3" w:rsidRPr="00064365">
        <w:lastRenderedPageBreak/>
        <w:t>event.</w:t>
      </w:r>
      <w:r w:rsidR="00E442E7">
        <w:t xml:space="preserve"> </w:t>
      </w:r>
      <w:r w:rsidR="005A769A">
        <w:t>For e</w:t>
      </w:r>
      <w:r w:rsidR="005A769A" w:rsidRPr="00064365">
        <w:t>xample</w:t>
      </w:r>
      <w:r w:rsidR="005A769A">
        <w:t xml:space="preserve">, ten events, of which four were </w:t>
      </w:r>
      <w:r w:rsidR="00C76C55">
        <w:t>HL</w:t>
      </w:r>
      <w:r w:rsidR="005A769A">
        <w:t xml:space="preserve"> 3, and none were </w:t>
      </w:r>
      <w:r w:rsidR="00C76C55">
        <w:t>HL</w:t>
      </w:r>
      <w:r w:rsidR="005A769A">
        <w:t xml:space="preserve"> 4.</w:t>
      </w:r>
      <w:r w:rsidR="00E442E7">
        <w:t xml:space="preserve"> </w:t>
      </w:r>
      <w:r w:rsidR="005A769A">
        <w:t>Calculate L3HR = 4:10 = 0.40.</w:t>
      </w:r>
      <w:r w:rsidR="00E442E7">
        <w:t xml:space="preserve"> </w:t>
      </w:r>
      <w:r w:rsidR="005A769A">
        <w:t xml:space="preserve">For the four </w:t>
      </w:r>
      <w:r w:rsidR="00C76C55">
        <w:t>HL</w:t>
      </w:r>
      <w:r w:rsidR="005A769A">
        <w:t xml:space="preserve"> 3 events, add one more and assume it is </w:t>
      </w:r>
      <w:r w:rsidR="00C76C55">
        <w:t>HL</w:t>
      </w:r>
      <w:r w:rsidR="005A769A">
        <w:t xml:space="preserve"> 4,</w:t>
      </w:r>
      <w:r w:rsidR="00E442E7">
        <w:t xml:space="preserve"> </w:t>
      </w:r>
      <w:r w:rsidR="005A769A">
        <w:t>= 1:5 = 0.20, L4:L3 HR.</w:t>
      </w:r>
      <w:r w:rsidR="00E442E7">
        <w:t xml:space="preserve"> </w:t>
      </w:r>
      <w:r w:rsidR="005A769A">
        <w:t>Multiply the L3 HR by the L4:L3 HR 0.4 * 0.2 = 0.08 Level 4 HR.</w:t>
      </w:r>
    </w:p>
    <w:bookmarkEnd w:id="35"/>
    <w:p w14:paraId="17E51DAA" w14:textId="77777777" w:rsidR="00E90FAD" w:rsidRPr="004970E2" w:rsidRDefault="00C36CB9" w:rsidP="00CD5068">
      <w:pPr>
        <w:pStyle w:val="Heading9"/>
        <w:rPr>
          <w:rStyle w:val="Lead-in-Underlinenobold"/>
          <w:u w:val="none"/>
        </w:rPr>
      </w:pPr>
      <w:r w:rsidRPr="001F3102">
        <w:rPr>
          <w:rStyle w:val="Lead-in-Underlinenobold"/>
        </w:rPr>
        <w:t>Analysis</w:t>
      </w:r>
      <w:r w:rsidR="001F3102">
        <w:rPr>
          <w:rStyle w:val="Lead-in-Underlinenobold"/>
        </w:rPr>
        <w:t>.</w:t>
      </w:r>
    </w:p>
    <w:p w14:paraId="4BAFB09D" w14:textId="229FB24C" w:rsidR="00D62A25" w:rsidRDefault="00CF5D9A" w:rsidP="00D02BDE">
      <w:pPr>
        <w:pStyle w:val="Levels1-3-OneParagraphUnderHeading"/>
      </w:pPr>
      <w:r>
        <w:t xml:space="preserve">As described above, engineering analysis may allow for </w:t>
      </w:r>
      <w:r w:rsidR="00E71F5A">
        <w:t xml:space="preserve">an </w:t>
      </w:r>
      <w:r>
        <w:t>accurate estimation of the hazard ratio.</w:t>
      </w:r>
      <w:r w:rsidR="00E442E7">
        <w:t xml:space="preserve"> </w:t>
      </w:r>
      <w:r w:rsidR="00D62A25">
        <w:t>F</w:t>
      </w:r>
      <w:r w:rsidR="00CD5068">
        <w:t xml:space="preserve">or example, </w:t>
      </w:r>
      <w:r w:rsidR="00E71F5A">
        <w:t xml:space="preserve">the </w:t>
      </w:r>
      <w:r w:rsidR="00CD5068">
        <w:t>r</w:t>
      </w:r>
      <w:r w:rsidR="00D62A25">
        <w:t xml:space="preserve">elease of a </w:t>
      </w:r>
      <w:r w:rsidR="00DD1A01">
        <w:t>high-energy</w:t>
      </w:r>
      <w:r w:rsidR="00D62A25">
        <w:t xml:space="preserve"> fragment in a specific direction could impact a critical component or system</w:t>
      </w:r>
      <w:r w:rsidR="00E71F5A">
        <w:t>,</w:t>
      </w:r>
      <w:r w:rsidR="00D62A25">
        <w:t xml:space="preserve"> resulting in a</w:t>
      </w:r>
      <w:r w:rsidR="00A63B2D">
        <w:t>n</w:t>
      </w:r>
      <w:r w:rsidR="00D62A25">
        <w:t xml:space="preserve"> </w:t>
      </w:r>
      <w:r w:rsidR="00C76C55">
        <w:t>HL</w:t>
      </w:r>
      <w:r w:rsidR="00D62A25">
        <w:t xml:space="preserve"> 3 event.</w:t>
      </w:r>
      <w:r w:rsidR="00E442E7">
        <w:t xml:space="preserve"> </w:t>
      </w:r>
      <w:r w:rsidR="00D62A25">
        <w:t>An appropriate hazard ratio could be developed based on the probability of a randomly released fragment being able to impact the critical system.</w:t>
      </w:r>
      <w:r w:rsidR="00E442E7">
        <w:t xml:space="preserve"> </w:t>
      </w:r>
      <w:r w:rsidR="007C67C8">
        <w:t>There may also be instances where a</w:t>
      </w:r>
      <w:r w:rsidR="007C67C8" w:rsidRPr="007C67C8">
        <w:t xml:space="preserve"> failure can only release a small volume of fuel in a fire zone.</w:t>
      </w:r>
      <w:r w:rsidR="00E442E7">
        <w:t xml:space="preserve"> </w:t>
      </w:r>
      <w:r w:rsidR="00013531">
        <w:t>If the result is a localized fire that exhausts the limited fuel source and</w:t>
      </w:r>
      <w:r w:rsidR="007C67C8" w:rsidRPr="007C67C8">
        <w:t xml:space="preserve"> </w:t>
      </w:r>
      <w:r w:rsidR="00E71F5A">
        <w:t xml:space="preserve">the </w:t>
      </w:r>
      <w:r w:rsidR="007C67C8" w:rsidRPr="007C67C8">
        <w:t xml:space="preserve">uncontrolled fire is not a credible outcome, </w:t>
      </w:r>
      <w:r w:rsidR="007C67C8">
        <w:t xml:space="preserve">it may be appropriate to assume that </w:t>
      </w:r>
      <w:r w:rsidR="007C67C8" w:rsidRPr="007C67C8">
        <w:t>the hazard ratio</w:t>
      </w:r>
      <w:r w:rsidR="007C67C8">
        <w:t xml:space="preserve"> is</w:t>
      </w:r>
      <w:r w:rsidR="007C67C8" w:rsidRPr="007C67C8">
        <w:t xml:space="preserve"> </w:t>
      </w:r>
      <w:r w:rsidR="007C67C8">
        <w:t>negligible</w:t>
      </w:r>
      <w:r w:rsidR="007C67C8" w:rsidRPr="007C67C8">
        <w:t>.</w:t>
      </w:r>
    </w:p>
    <w:p w14:paraId="2E17572B" w14:textId="77777777" w:rsidR="00E652EF" w:rsidRDefault="00E652EF" w:rsidP="00E652EF">
      <w:pPr>
        <w:pStyle w:val="Heading7"/>
      </w:pPr>
      <w:r>
        <w:t>notes on hazard ratio development.</w:t>
      </w:r>
    </w:p>
    <w:p w14:paraId="5077E82F" w14:textId="721C7392" w:rsidR="004050D7" w:rsidRDefault="00E652EF" w:rsidP="004050D7">
      <w:pPr>
        <w:pStyle w:val="Levels1-3-OneParagraphUnderHeading"/>
        <w:sectPr w:rsidR="004050D7" w:rsidSect="00DB248F">
          <w:headerReference w:type="even" r:id="rId36"/>
          <w:headerReference w:type="default" r:id="rId37"/>
          <w:footerReference w:type="default" r:id="rId38"/>
          <w:headerReference w:type="first" r:id="rId39"/>
          <w:pgSz w:w="12240" w:h="15840"/>
          <w:pgMar w:top="1440" w:right="1350" w:bottom="810" w:left="1440" w:header="720" w:footer="444" w:gutter="0"/>
          <w:pgNumType w:start="1" w:chapStyle="6"/>
          <w:cols w:space="720"/>
          <w:docGrid w:linePitch="326"/>
        </w:sectPr>
      </w:pPr>
      <w:r>
        <w:t>Communication between the engine, propeller, APU manufacturer</w:t>
      </w:r>
      <w:r w:rsidR="005C2461">
        <w:t>s</w:t>
      </w:r>
      <w:r>
        <w:t>, installer</w:t>
      </w:r>
      <w:r w:rsidR="005C2461">
        <w:t>s</w:t>
      </w:r>
      <w:r>
        <w:t>, operators</w:t>
      </w:r>
      <w:r w:rsidR="00E71F5A">
        <w:t>,</w:t>
      </w:r>
      <w:r>
        <w:t xml:space="preserve"> and the FAA is often necessary, especially if no appropriate historical hazard ratio is available.</w:t>
      </w:r>
      <w:r w:rsidR="00E442E7">
        <w:t xml:space="preserve"> </w:t>
      </w:r>
      <w:r>
        <w:t xml:space="preserve">Additionally, </w:t>
      </w:r>
      <w:r w:rsidR="005C2461">
        <w:t>i</w:t>
      </w:r>
      <w:r w:rsidR="005C2461" w:rsidRPr="005C2461">
        <w:t>t may be necessary for the stakeholder to use engineering judgement</w:t>
      </w:r>
      <w:r w:rsidR="000855F2">
        <w:t xml:space="preserve"> </w:t>
      </w:r>
      <w:r w:rsidRPr="000855F2">
        <w:t>to assess</w:t>
      </w:r>
      <w:r>
        <w:t xml:space="preserve"> the impact of unique features of a specific powerplant or APU installation.</w:t>
      </w:r>
    </w:p>
    <w:bookmarkEnd w:id="36"/>
    <w:p w14:paraId="23132B91" w14:textId="10AB2390" w:rsidR="00E652EF" w:rsidRDefault="00E652EF" w:rsidP="00762534">
      <w:pPr>
        <w:pStyle w:val="Heading6"/>
      </w:pPr>
      <w:r>
        <w:lastRenderedPageBreak/>
        <w:t>Potential Unsafe Conditions</w:t>
      </w:r>
      <w:r w:rsidR="0091592C">
        <w:t xml:space="preserve"> </w:t>
      </w:r>
    </w:p>
    <w:p w14:paraId="317B2102" w14:textId="77777777" w:rsidR="00E652EF" w:rsidRDefault="00E652EF" w:rsidP="00E652EF">
      <w:pPr>
        <w:pStyle w:val="Heading7"/>
      </w:pPr>
      <w:r>
        <w:t>PURPOSE.</w:t>
      </w:r>
    </w:p>
    <w:p w14:paraId="5BAE2091" w14:textId="0EFB8CFA" w:rsidR="00E652EF" w:rsidRDefault="00E652EF" w:rsidP="00E652EF">
      <w:pPr>
        <w:pStyle w:val="Levels1-3-OneParagraphUnderHeading"/>
      </w:pPr>
      <w:r>
        <w:t>The objective of this appendix is to provide the user with a descriptive listing of generic transport airplane powerplant and APU failure conditions that have been defined as potentially unsafe based on previous service experience or traditional assumptions, or both.</w:t>
      </w:r>
      <w:r w:rsidR="00E442E7">
        <w:t xml:space="preserve"> </w:t>
      </w:r>
      <w:r>
        <w:t xml:space="preserve">This appendix is intended to be an example list </w:t>
      </w:r>
      <w:r w:rsidR="00DB753E">
        <w:t xml:space="preserve">based on the CAAM reports </w:t>
      </w:r>
      <w:r>
        <w:t>and not an inclusive or prescriptive checklist, since it may not include all the information relevant to the failure conditions of a specific transport airplane with its various functions and its intended use.</w:t>
      </w:r>
      <w:r w:rsidR="00E442E7">
        <w:t xml:space="preserve"> </w:t>
      </w:r>
      <w:r>
        <w:t>This list includes estimates of the conditional probability of the severity outcome (hazard ratio) given the occurrence of the basic failure condition.</w:t>
      </w:r>
    </w:p>
    <w:p w14:paraId="42244885" w14:textId="77777777" w:rsidR="00E652EF" w:rsidRDefault="009307C5" w:rsidP="00E652EF">
      <w:pPr>
        <w:pStyle w:val="Heading7"/>
      </w:pPr>
      <w:r>
        <w:t xml:space="preserve">CAAM </w:t>
      </w:r>
      <w:r w:rsidR="00E652EF" w:rsidRPr="005A6735">
        <w:t>DATABASE.</w:t>
      </w:r>
    </w:p>
    <w:p w14:paraId="04FEFB19" w14:textId="0FC9A127" w:rsidR="00E652EF" w:rsidRDefault="00E652EF" w:rsidP="009C2E13">
      <w:pPr>
        <w:pStyle w:val="Levels1-3-OneParagraphUnderHeading"/>
        <w:ind w:left="900"/>
      </w:pPr>
      <w:r>
        <w:t>T</w:t>
      </w:r>
      <w:r w:rsidRPr="005A6735">
        <w:t>he</w:t>
      </w:r>
      <w:r w:rsidR="0068466F">
        <w:t xml:space="preserve"> historical data and hazard ratio tables in this appendix</w:t>
      </w:r>
      <w:r w:rsidRPr="005A6735">
        <w:t xml:space="preserve"> are based on the service data for the </w:t>
      </w:r>
      <w:r w:rsidR="00D423CE" w:rsidRPr="005A6735">
        <w:t>period</w:t>
      </w:r>
      <w:r w:rsidRPr="005A6735">
        <w:t xml:space="preserve"> 1982-2012</w:t>
      </w:r>
      <w:r w:rsidR="00D423CE">
        <w:t>.</w:t>
      </w:r>
      <w:r w:rsidR="00E442E7">
        <w:t xml:space="preserve"> </w:t>
      </w:r>
      <w:r w:rsidR="00D423CE">
        <w:t>See</w:t>
      </w:r>
      <w:r>
        <w:t xml:space="preserve"> the</w:t>
      </w:r>
      <w:r w:rsidRPr="005A6735">
        <w:t xml:space="preserve"> CAAM </w:t>
      </w:r>
      <w:r>
        <w:t>reports</w:t>
      </w:r>
      <w:r w:rsidRPr="005A6735">
        <w:t xml:space="preserve"> </w:t>
      </w:r>
      <w:r w:rsidR="007C631A">
        <w:t xml:space="preserve">referenced in </w:t>
      </w:r>
      <w:r w:rsidRPr="005A6735">
        <w:t xml:space="preserve">paragraph </w:t>
      </w:r>
      <w:r w:rsidR="007B3D95">
        <w:t>5</w:t>
      </w:r>
      <w:r w:rsidR="00D423CE">
        <w:t>.</w:t>
      </w:r>
      <w:r w:rsidR="004D6FD9">
        <w:t>3</w:t>
      </w:r>
      <w:r w:rsidR="00D423CE" w:rsidRPr="005A6735">
        <w:t xml:space="preserve"> </w:t>
      </w:r>
      <w:r w:rsidR="007C631A">
        <w:t>of</w:t>
      </w:r>
      <w:r w:rsidRPr="005A6735">
        <w:t xml:space="preserve"> this AC.</w:t>
      </w:r>
      <w:r w:rsidR="00E442E7">
        <w:t xml:space="preserve"> </w:t>
      </w:r>
      <w:r w:rsidR="00467C85" w:rsidRPr="009C2E13">
        <w:rPr>
          <w:iCs/>
        </w:rPr>
        <w:t xml:space="preserve">Subsequently </w:t>
      </w:r>
      <w:r w:rsidR="0077273C" w:rsidRPr="009C2E13">
        <w:rPr>
          <w:iCs/>
        </w:rPr>
        <w:t xml:space="preserve">only few more </w:t>
      </w:r>
      <w:r w:rsidR="00467C85" w:rsidRPr="009C2E13">
        <w:rPr>
          <w:iCs/>
        </w:rPr>
        <w:t>CAAM reports</w:t>
      </w:r>
      <w:r w:rsidR="004E0E47" w:rsidRPr="009C2E13">
        <w:rPr>
          <w:iCs/>
        </w:rPr>
        <w:t xml:space="preserve"> on specific subjects</w:t>
      </w:r>
      <w:r w:rsidR="00467C85" w:rsidRPr="009C2E13">
        <w:rPr>
          <w:iCs/>
        </w:rPr>
        <w:t xml:space="preserve"> </w:t>
      </w:r>
      <w:r w:rsidR="0077273C" w:rsidRPr="009C2E13">
        <w:rPr>
          <w:iCs/>
        </w:rPr>
        <w:t xml:space="preserve">were </w:t>
      </w:r>
      <w:r w:rsidR="00467C85" w:rsidRPr="009C2E13">
        <w:rPr>
          <w:iCs/>
        </w:rPr>
        <w:t>published online in the website</w:t>
      </w:r>
      <w:r w:rsidR="0021683E" w:rsidRPr="0021683E">
        <w:rPr>
          <w:iCs/>
        </w:rPr>
        <w:t>:</w:t>
      </w:r>
      <w:r w:rsidR="00467C85" w:rsidRPr="009C2E13">
        <w:rPr>
          <w:iCs/>
        </w:rPr>
        <w:t xml:space="preserve"> </w:t>
      </w:r>
      <w:hyperlink r:id="rId40" w:history="1">
        <w:r w:rsidR="00467C85" w:rsidRPr="009C2E13">
          <w:rPr>
            <w:rStyle w:val="Hyperlink"/>
            <w:iCs/>
          </w:rPr>
          <w:t>Engines and Propellers Reports | Federal Aviation Administration</w:t>
        </w:r>
      </w:hyperlink>
      <w:r w:rsidR="00467C85" w:rsidRPr="009C2E13">
        <w:rPr>
          <w:iCs/>
        </w:rPr>
        <w:t>.</w:t>
      </w:r>
      <w:r w:rsidR="00467C85">
        <w:rPr>
          <w:i/>
          <w:iCs/>
        </w:rPr>
        <w:t xml:space="preserve"> </w:t>
      </w:r>
      <w:r w:rsidR="0068466F">
        <w:t>The CAAM reports also contain</w:t>
      </w:r>
      <w:r w:rsidR="0068466F" w:rsidRPr="0068466F">
        <w:t xml:space="preserve"> event descriptions </w:t>
      </w:r>
      <w:r w:rsidR="0068466F">
        <w:t xml:space="preserve">for the </w:t>
      </w:r>
      <w:proofErr w:type="gramStart"/>
      <w:r w:rsidR="0068466F">
        <w:t>particular failure</w:t>
      </w:r>
      <w:proofErr w:type="gramEnd"/>
      <w:r w:rsidR="0068466F">
        <w:t xml:space="preserve"> condition</w:t>
      </w:r>
      <w:r w:rsidR="0068466F" w:rsidRPr="0068466F">
        <w:t xml:space="preserve"> being assessed.</w:t>
      </w:r>
    </w:p>
    <w:p w14:paraId="44F3AD52" w14:textId="77777777" w:rsidR="00E652EF" w:rsidRDefault="00E652EF" w:rsidP="00E652EF">
      <w:pPr>
        <w:pStyle w:val="Heading7"/>
      </w:pPr>
      <w:r>
        <w:t>HAZARD RATIO CALCULATION.</w:t>
      </w:r>
    </w:p>
    <w:p w14:paraId="534D0851" w14:textId="5E8A5707" w:rsidR="00E652EF" w:rsidRDefault="00E652EF" w:rsidP="00E652EF">
      <w:pPr>
        <w:pStyle w:val="Heading8"/>
      </w:pPr>
      <w:r>
        <w:t xml:space="preserve">Hazard ratio calculations include all </w:t>
      </w:r>
      <w:r w:rsidR="00DD1A01">
        <w:t>higher-level</w:t>
      </w:r>
      <w:r>
        <w:t xml:space="preserve"> events.</w:t>
      </w:r>
      <w:r w:rsidR="00E442E7">
        <w:t xml:space="preserve"> </w:t>
      </w:r>
      <w:r>
        <w:t xml:space="preserve">For example, the </w:t>
      </w:r>
      <w:r w:rsidR="00D423CE">
        <w:t xml:space="preserve">level </w:t>
      </w:r>
      <w:r>
        <w:t xml:space="preserve">3 </w:t>
      </w:r>
      <w:r w:rsidR="00D423CE">
        <w:t>hazard r</w:t>
      </w:r>
      <w:r>
        <w:t>atio also includes the</w:t>
      </w:r>
      <w:r w:rsidR="00D66297">
        <w:t xml:space="preserve"> </w:t>
      </w:r>
      <w:r w:rsidR="00C76C55">
        <w:t>HL</w:t>
      </w:r>
      <w:r w:rsidR="00267F31">
        <w:t>s</w:t>
      </w:r>
      <w:r w:rsidR="00D423CE">
        <w:t xml:space="preserve"> </w:t>
      </w:r>
      <w:r>
        <w:t>4 and 5 events.</w:t>
      </w:r>
    </w:p>
    <w:p w14:paraId="4D44E9FC" w14:textId="1744DC3B" w:rsidR="00E652EF" w:rsidRDefault="00550038" w:rsidP="00E652EF">
      <w:pPr>
        <w:pStyle w:val="Heading8"/>
      </w:pPr>
      <w:r>
        <w:t xml:space="preserve">If </w:t>
      </w:r>
      <w:r w:rsidR="00E652EF">
        <w:t>there have been relatively few occurrences within the database of a particular failure condition</w:t>
      </w:r>
      <w:r w:rsidR="00C91E49">
        <w:t xml:space="preserve"> where the number of the base events is under-reported,</w:t>
      </w:r>
      <w:r w:rsidR="00E652EF">
        <w:t xml:space="preserve"> </w:t>
      </w:r>
      <w:r w:rsidR="00C91E49">
        <w:t xml:space="preserve">or if </w:t>
      </w:r>
      <w:r w:rsidR="00E652EF">
        <w:t xml:space="preserve">no events of a given </w:t>
      </w:r>
      <w:r w:rsidR="00C76C55">
        <w:t>HL</w:t>
      </w:r>
      <w:r w:rsidR="00E652EF">
        <w:t xml:space="preserve"> or higher</w:t>
      </w:r>
      <w:r w:rsidR="00C91E49">
        <w:t xml:space="preserve"> have occurred</w:t>
      </w:r>
      <w:r w:rsidR="00E652EF">
        <w:t>, hazard ratios have not been listed</w:t>
      </w:r>
      <w:r>
        <w:t xml:space="preserve"> in the following tables</w:t>
      </w:r>
      <w:r w:rsidR="00C91E49">
        <w:t xml:space="preserve"> and marked with an “*</w:t>
      </w:r>
      <w:r w:rsidR="00712EDE">
        <w:t>.</w:t>
      </w:r>
      <w:r w:rsidR="00C91E49">
        <w:t>”</w:t>
      </w:r>
    </w:p>
    <w:p w14:paraId="67D14B3A" w14:textId="77777777" w:rsidR="00E652EF" w:rsidRDefault="00E652EF" w:rsidP="00E652EF">
      <w:pPr>
        <w:pStyle w:val="Heading8"/>
      </w:pPr>
      <w:r>
        <w:t xml:space="preserve">Separate hazard ratios are calculated for </w:t>
      </w:r>
      <w:r w:rsidR="00202C05">
        <w:t>turboprop</w:t>
      </w:r>
      <w:r>
        <w:t>, low-bypass pressure ratio (LBPR), and high-bypass pressure ratio (HBPR) engines.</w:t>
      </w:r>
    </w:p>
    <w:p w14:paraId="633FD260" w14:textId="7824F948" w:rsidR="007C6A41" w:rsidRDefault="00E652EF" w:rsidP="007849E7">
      <w:pPr>
        <w:pStyle w:val="Levels1-3-Note"/>
      </w:pPr>
      <w:r>
        <w:t xml:space="preserve">Care should be taken when using any published hazard ratio </w:t>
      </w:r>
      <w:r w:rsidR="00550038">
        <w:t xml:space="preserve">to ensure </w:t>
      </w:r>
      <w:r>
        <w:t>that the data source is relevant to the intended application.</w:t>
      </w:r>
      <w:r w:rsidR="00E442E7">
        <w:t xml:space="preserve"> </w:t>
      </w:r>
      <w:r>
        <w:t xml:space="preserve">Since the hazard ratios in this appendix have been developed using the full range of the available data, they should be considered a general guide and not a replacement for more specific guidance and assessments for a particular </w:t>
      </w:r>
      <w:r w:rsidR="000063F1">
        <w:t xml:space="preserve">airplane </w:t>
      </w:r>
      <w:r>
        <w:t>type, enviro</w:t>
      </w:r>
      <w:r w:rsidR="00403FD6">
        <w:t>nment, or operating condition.</w:t>
      </w:r>
    </w:p>
    <w:p w14:paraId="227692B4" w14:textId="77777777" w:rsidR="0068466F" w:rsidRDefault="0068466F">
      <w:pPr>
        <w:rPr>
          <w:b/>
          <w:iCs/>
          <w:caps/>
        </w:rPr>
      </w:pPr>
      <w:r>
        <w:br w:type="page"/>
      </w:r>
    </w:p>
    <w:p w14:paraId="39E6D776" w14:textId="77777777" w:rsidR="00297AEF" w:rsidRPr="00E4228F" w:rsidRDefault="007C5F58" w:rsidP="007C6A41">
      <w:pPr>
        <w:pStyle w:val="Heading7"/>
      </w:pPr>
      <w:r w:rsidRPr="00E4228F">
        <w:lastRenderedPageBreak/>
        <w:t>FAILURE CONDITION: UNCONTAINED.</w:t>
      </w:r>
    </w:p>
    <w:p w14:paraId="67E49C10" w14:textId="4F1D21EC" w:rsidR="007C5F58" w:rsidRDefault="00C56E15" w:rsidP="00E4228F">
      <w:pPr>
        <w:pStyle w:val="Levels1-3-OneParagraphUnderHeading"/>
      </w:pPr>
      <w:r w:rsidRPr="00C56E15">
        <w:t>An u</w:t>
      </w:r>
      <w:r w:rsidRPr="002A3591">
        <w:t xml:space="preserve">ncontained </w:t>
      </w:r>
      <w:r w:rsidRPr="00C56E15">
        <w:t>f</w:t>
      </w:r>
      <w:r w:rsidRPr="002A3591">
        <w:t xml:space="preserve">ailure </w:t>
      </w:r>
      <w:r w:rsidRPr="00C56E15">
        <w:t>c</w:t>
      </w:r>
      <w:r w:rsidRPr="002A3591">
        <w:t>ondition</w:t>
      </w:r>
      <w:r w:rsidRPr="00C56E15">
        <w:t xml:space="preserve"> is a</w:t>
      </w:r>
      <w:r w:rsidRPr="00205B0B">
        <w:t xml:space="preserve"> </w:t>
      </w:r>
      <w:r w:rsidR="007A05BD">
        <w:t xml:space="preserve">potentially </w:t>
      </w:r>
      <w:r w:rsidRPr="00205B0B">
        <w:t xml:space="preserve">significant </w:t>
      </w:r>
      <w:r w:rsidR="00D82177">
        <w:t>un</w:t>
      </w:r>
      <w:r w:rsidRPr="00205B0B">
        <w:t xml:space="preserve">safe </w:t>
      </w:r>
      <w:r w:rsidR="002A766F">
        <w:t>condition</w:t>
      </w:r>
      <w:r w:rsidRPr="00205B0B">
        <w:t>, which initiates from an uncontained release of debris from a rotating component malfunction (blade, disk, spacer, impeller, drum</w:t>
      </w:r>
      <w:r>
        <w:t xml:space="preserve"> or </w:t>
      </w:r>
      <w:r w:rsidRPr="00205B0B">
        <w:t>spool).</w:t>
      </w:r>
      <w:r w:rsidR="00E442E7">
        <w:t xml:space="preserve"> </w:t>
      </w:r>
      <w:proofErr w:type="gramStart"/>
      <w:r w:rsidR="007C5F58" w:rsidRPr="00205B0B">
        <w:t>In order to</w:t>
      </w:r>
      <w:proofErr w:type="gramEnd"/>
      <w:r w:rsidR="007C5F58" w:rsidRPr="00205B0B">
        <w:t xml:space="preserve"> be </w:t>
      </w:r>
      <w:r w:rsidR="00F61026">
        <w:t>classified</w:t>
      </w:r>
      <w:r w:rsidR="007C5F58" w:rsidRPr="00205B0B">
        <w:t xml:space="preserve"> as uncontained, the debris must pass completely through the nacelle envelope.</w:t>
      </w:r>
      <w:r w:rsidR="00E442E7">
        <w:t xml:space="preserve"> </w:t>
      </w:r>
      <w:r w:rsidR="007C5F58" w:rsidRPr="00205B0B">
        <w:t xml:space="preserve">Parts </w:t>
      </w:r>
      <w:r w:rsidR="00C623C2">
        <w:t>that</w:t>
      </w:r>
      <w:r w:rsidR="00C623C2" w:rsidRPr="00205B0B">
        <w:t xml:space="preserve"> </w:t>
      </w:r>
      <w:r w:rsidR="007C5F58" w:rsidRPr="00205B0B">
        <w:t>puncture the nacelle skin</w:t>
      </w:r>
      <w:r w:rsidR="00C623C2">
        <w:t>,</w:t>
      </w:r>
      <w:r w:rsidR="007C5F58" w:rsidRPr="00205B0B">
        <w:t xml:space="preserve"> but do not escape or pass completely through</w:t>
      </w:r>
      <w:r w:rsidR="001902A8">
        <w:t>,</w:t>
      </w:r>
      <w:r w:rsidR="007C5F58" w:rsidRPr="00205B0B">
        <w:t xml:space="preserve"> are considered contained.</w:t>
      </w:r>
      <w:r w:rsidR="00E442E7">
        <w:t xml:space="preserve"> </w:t>
      </w:r>
      <w:r w:rsidR="007C5F58" w:rsidRPr="00205B0B">
        <w:t xml:space="preserve">Fragments </w:t>
      </w:r>
      <w:r w:rsidR="00C623C2">
        <w:t>that</w:t>
      </w:r>
      <w:r w:rsidR="00C623C2" w:rsidRPr="00205B0B">
        <w:t xml:space="preserve"> </w:t>
      </w:r>
      <w:r w:rsidR="007C5F58" w:rsidRPr="00205B0B">
        <w:t>pass out of the inlet or exhaust opening without passing through any structure are</w:t>
      </w:r>
      <w:r w:rsidR="0084229B">
        <w:t xml:space="preserve"> not uncontained.</w:t>
      </w:r>
    </w:p>
    <w:p w14:paraId="4843F59E" w14:textId="77777777" w:rsidR="00ED4393" w:rsidRDefault="00ED4393" w:rsidP="00B54844">
      <w:pPr>
        <w:pStyle w:val="Levels1-3-OneParagraphUnderHeading"/>
      </w:pPr>
    </w:p>
    <w:p w14:paraId="1E523338" w14:textId="61454367" w:rsidR="00D82177" w:rsidRDefault="00D82177" w:rsidP="000855F2">
      <w:pPr>
        <w:pStyle w:val="Caption"/>
      </w:pPr>
      <w:r>
        <w:t xml:space="preserve">Table D-1 - Uncontained Disk Hazard Ratios </w:t>
      </w:r>
      <w:r w:rsidR="00474107">
        <w:t xml:space="preserve">of </w:t>
      </w:r>
      <w:r>
        <w:t xml:space="preserve">Fan and </w:t>
      </w:r>
      <w:r w:rsidR="000709A9">
        <w:t>Low-Pressure</w:t>
      </w:r>
      <w:r w:rsidR="00474107">
        <w:t xml:space="preserve"> Compressor (</w:t>
      </w:r>
      <w:r>
        <w:t>LPC)</w:t>
      </w:r>
    </w:p>
    <w:p w14:paraId="1750E175" w14:textId="223B1E81" w:rsidR="00A25176" w:rsidRPr="006829F2" w:rsidRDefault="00A51991" w:rsidP="00A25176">
      <w:pPr>
        <w:pStyle w:val="Heading8"/>
        <w:numPr>
          <w:ilvl w:val="0"/>
          <w:numId w:val="0"/>
        </w:numPr>
        <w:ind w:left="864"/>
        <w:jc w:val="center"/>
      </w:pPr>
      <w:r w:rsidRPr="00A51991">
        <w:rPr>
          <w:noProof/>
        </w:rPr>
        <w:drawing>
          <wp:inline distT="0" distB="0" distL="0" distR="0" wp14:anchorId="37FAD1B3" wp14:editId="31922F37">
            <wp:extent cx="5338762" cy="2982547"/>
            <wp:effectExtent l="0" t="0" r="0" b="8890"/>
            <wp:docPr id="20" name="Picture 20" descr="This is an image depicting Uncontained Disk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41195" cy="2983906"/>
                    </a:xfrm>
                    <a:prstGeom prst="rect">
                      <a:avLst/>
                    </a:prstGeom>
                    <a:noFill/>
                    <a:ln>
                      <a:noFill/>
                    </a:ln>
                  </pic:spPr>
                </pic:pic>
              </a:graphicData>
            </a:graphic>
          </wp:inline>
        </w:drawing>
      </w:r>
    </w:p>
    <w:p w14:paraId="67E980A4" w14:textId="316BA9F4" w:rsidR="000855F2" w:rsidRDefault="002971FB" w:rsidP="002971FB">
      <w:pPr>
        <w:ind w:left="900"/>
      </w:pPr>
      <w:r w:rsidRPr="0095703F">
        <w:rPr>
          <w:rStyle w:val="FootnoteReference"/>
        </w:rPr>
        <w:t xml:space="preserve">† The data </w:t>
      </w:r>
      <w:r w:rsidR="00D53BD5">
        <w:rPr>
          <w:rStyle w:val="FootnoteReference"/>
        </w:rPr>
        <w:t>i</w:t>
      </w:r>
      <w:r w:rsidR="00D53BD5" w:rsidRPr="00CC694E">
        <w:rPr>
          <w:vertAlign w:val="superscript"/>
        </w:rPr>
        <w:t>s</w:t>
      </w:r>
      <w:r w:rsidR="00D53BD5" w:rsidRPr="0095703F">
        <w:rPr>
          <w:rStyle w:val="FootnoteReference"/>
        </w:rPr>
        <w:t xml:space="preserve"> </w:t>
      </w:r>
      <w:r w:rsidRPr="0095703F">
        <w:rPr>
          <w:rStyle w:val="FootnoteReference"/>
        </w:rPr>
        <w:t>combined here for convenience.</w:t>
      </w:r>
      <w:r w:rsidR="00E442E7">
        <w:rPr>
          <w:rStyle w:val="FootnoteReference"/>
        </w:rPr>
        <w:t xml:space="preserve"> </w:t>
      </w:r>
      <w:r w:rsidRPr="0095703F">
        <w:rPr>
          <w:rStyle w:val="FootnoteReference"/>
        </w:rPr>
        <w:t>The user should review the event descriptions and definitions in the CAAM reports for relevance to the particular issue being assessed.</w:t>
      </w:r>
    </w:p>
    <w:p w14:paraId="07B93686" w14:textId="77777777" w:rsidR="000855F2" w:rsidRDefault="000855F2">
      <w:r>
        <w:br w:type="page"/>
      </w:r>
    </w:p>
    <w:p w14:paraId="7564C227" w14:textId="77777777" w:rsidR="002971FB" w:rsidRPr="0095703F" w:rsidRDefault="002971FB" w:rsidP="002971FB">
      <w:pPr>
        <w:ind w:left="900"/>
        <w:rPr>
          <w:rStyle w:val="FootnoteReference"/>
        </w:rPr>
      </w:pPr>
    </w:p>
    <w:p w14:paraId="291C74D5" w14:textId="6A957707" w:rsidR="00BD70FE" w:rsidRPr="006A1D9B" w:rsidRDefault="00BD70FE" w:rsidP="000855F2">
      <w:pPr>
        <w:pStyle w:val="Caption"/>
      </w:pPr>
      <w:r w:rsidRPr="006A1D9B">
        <w:t xml:space="preserve">Table </w:t>
      </w:r>
      <w:r>
        <w:t>D-</w:t>
      </w:r>
      <w:r>
        <w:rPr>
          <w:noProof/>
        </w:rPr>
        <w:fldChar w:fldCharType="begin"/>
      </w:r>
      <w:r>
        <w:rPr>
          <w:noProof/>
        </w:rPr>
        <w:instrText xml:space="preserve"> SEQ Table \* ARABIC </w:instrText>
      </w:r>
      <w:r>
        <w:rPr>
          <w:noProof/>
        </w:rPr>
        <w:fldChar w:fldCharType="separate"/>
      </w:r>
      <w:r w:rsidR="00474107">
        <w:rPr>
          <w:noProof/>
        </w:rPr>
        <w:t>2</w:t>
      </w:r>
      <w:r>
        <w:rPr>
          <w:noProof/>
        </w:rPr>
        <w:fldChar w:fldCharType="end"/>
      </w:r>
      <w:r w:rsidRPr="006A1D9B">
        <w:t xml:space="preserve"> </w:t>
      </w:r>
      <w:r w:rsidRPr="00630B6A">
        <w:t>-</w:t>
      </w:r>
      <w:r w:rsidRPr="006A1D9B">
        <w:t xml:space="preserve"> Uncontained Disk Hazard Ratios </w:t>
      </w:r>
      <w:r w:rsidR="00474107">
        <w:t xml:space="preserve">of </w:t>
      </w:r>
      <w:r w:rsidR="000709A9">
        <w:t>High-Pressure</w:t>
      </w:r>
      <w:r w:rsidR="00474107">
        <w:t xml:space="preserve"> Compressor (HPC), Intermediate Pressure Compressor (IPC), High</w:t>
      </w:r>
      <w:r w:rsidR="00855CED">
        <w:t>-</w:t>
      </w:r>
      <w:r w:rsidR="00474107">
        <w:t xml:space="preserve">Pressure Turbine (HPT) and Intermediate Pressure Turbine (IPT) </w:t>
      </w:r>
    </w:p>
    <w:p w14:paraId="68A5FDF2" w14:textId="5BFEE67B" w:rsidR="002971FB" w:rsidRDefault="00A51991" w:rsidP="002971FB">
      <w:pPr>
        <w:ind w:left="900"/>
      </w:pPr>
      <w:r w:rsidRPr="00A51991">
        <w:rPr>
          <w:noProof/>
          <w:szCs w:val="20"/>
        </w:rPr>
        <w:drawing>
          <wp:inline distT="0" distB="0" distL="0" distR="0" wp14:anchorId="687ACC6D" wp14:editId="247A0E4E">
            <wp:extent cx="5319712" cy="2971905"/>
            <wp:effectExtent l="0" t="0" r="0" b="0"/>
            <wp:docPr id="25" name="Picture 25" descr="This image depicts uncontained disk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22239" cy="2973317"/>
                    </a:xfrm>
                    <a:prstGeom prst="rect">
                      <a:avLst/>
                    </a:prstGeom>
                    <a:noFill/>
                    <a:ln>
                      <a:noFill/>
                    </a:ln>
                  </pic:spPr>
                </pic:pic>
              </a:graphicData>
            </a:graphic>
          </wp:inline>
        </w:drawing>
      </w:r>
      <w:r w:rsidR="002971FB" w:rsidRPr="0095703F">
        <w:rPr>
          <w:rStyle w:val="FootnoteReference"/>
        </w:rPr>
        <w:t xml:space="preserve">† </w:t>
      </w:r>
      <w:r w:rsidR="00293EA7" w:rsidRPr="0095703F">
        <w:rPr>
          <w:rStyle w:val="FootnoteReference"/>
        </w:rPr>
        <w:t xml:space="preserve">† </w:t>
      </w:r>
      <w:r w:rsidR="002971FB" w:rsidRPr="0095703F">
        <w:rPr>
          <w:rStyle w:val="FootnoteReference"/>
        </w:rPr>
        <w:t xml:space="preserve">The data </w:t>
      </w:r>
      <w:r w:rsidR="00D53BD5">
        <w:rPr>
          <w:rStyle w:val="FootnoteReference"/>
        </w:rPr>
        <w:t>i</w:t>
      </w:r>
      <w:r w:rsidR="00D53BD5" w:rsidRPr="00CC694E">
        <w:rPr>
          <w:vertAlign w:val="superscript"/>
        </w:rPr>
        <w:t>s</w:t>
      </w:r>
      <w:r w:rsidR="00D971A5">
        <w:rPr>
          <w:vertAlign w:val="superscript"/>
        </w:rPr>
        <w:t xml:space="preserve"> </w:t>
      </w:r>
      <w:r w:rsidR="002971FB" w:rsidRPr="0095703F">
        <w:rPr>
          <w:rStyle w:val="FootnoteReference"/>
        </w:rPr>
        <w:t>combined here for convenience.</w:t>
      </w:r>
      <w:r w:rsidR="00E442E7">
        <w:rPr>
          <w:rStyle w:val="FootnoteReference"/>
        </w:rPr>
        <w:t xml:space="preserve"> </w:t>
      </w:r>
      <w:r w:rsidR="002971FB" w:rsidRPr="0095703F">
        <w:rPr>
          <w:rStyle w:val="FootnoteReference"/>
        </w:rPr>
        <w:t>The user should review the event descriptions and definitions in the CAAM reports for relevance to the particular issue being assessed.</w:t>
      </w:r>
    </w:p>
    <w:p w14:paraId="4826A6E0" w14:textId="5035DDAF" w:rsidR="004D1649" w:rsidRPr="0095703F" w:rsidRDefault="004D1649" w:rsidP="004D1649">
      <w:pPr>
        <w:ind w:left="900"/>
        <w:rPr>
          <w:rStyle w:val="FootnoteReference"/>
        </w:rPr>
      </w:pPr>
      <w:r w:rsidRPr="0095703F">
        <w:rPr>
          <w:rStyle w:val="FootnoteReference"/>
        </w:rPr>
        <w:t>‡ The CAAM 1 and CAAM 2 reports collected IPT blade events separately.</w:t>
      </w:r>
      <w:r w:rsidR="00E442E7">
        <w:rPr>
          <w:rStyle w:val="FootnoteReference"/>
        </w:rPr>
        <w:t xml:space="preserve"> </w:t>
      </w:r>
      <w:r w:rsidRPr="0095703F">
        <w:rPr>
          <w:rStyle w:val="FootnoteReference"/>
        </w:rPr>
        <w:t>There was one turboprop IPT blade event in each report that was combined with the HPT events.</w:t>
      </w:r>
    </w:p>
    <w:p w14:paraId="364EE00E" w14:textId="36331A65" w:rsidR="004D1649" w:rsidRDefault="004D1649" w:rsidP="002971FB">
      <w:pPr>
        <w:ind w:left="900"/>
      </w:pPr>
      <w:r w:rsidRPr="00836920">
        <w:rPr>
          <w:rStyle w:val="FootnoteReference"/>
          <w:rFonts w:ascii="Cambria Math" w:hAnsi="Cambria Math" w:cs="Cambria Math"/>
        </w:rPr>
        <w:t>⁰</w:t>
      </w:r>
      <w:r w:rsidRPr="00836920">
        <w:rPr>
          <w:rStyle w:val="FootnoteReference"/>
        </w:rPr>
        <w:t xml:space="preserve"> </w:t>
      </w:r>
      <w:r w:rsidRPr="00A25176">
        <w:rPr>
          <w:rStyle w:val="FootnoteReference"/>
        </w:rPr>
        <w:t>The CAAM</w:t>
      </w:r>
      <w:r w:rsidR="007910B6">
        <w:t xml:space="preserve"> </w:t>
      </w:r>
      <w:r w:rsidRPr="00A25176">
        <w:rPr>
          <w:rStyle w:val="FootnoteReference"/>
        </w:rPr>
        <w:t>2 report collected IPC events separately.</w:t>
      </w:r>
      <w:r w:rsidR="00E442E7">
        <w:rPr>
          <w:rStyle w:val="FootnoteReference"/>
        </w:rPr>
        <w:t xml:space="preserve"> </w:t>
      </w:r>
      <w:r w:rsidRPr="00A25176">
        <w:rPr>
          <w:rStyle w:val="FootnoteReference"/>
        </w:rPr>
        <w:t>There was one high bypass turbofan L3 IPC event identified in CAAM</w:t>
      </w:r>
      <w:r w:rsidR="007910B6">
        <w:t xml:space="preserve"> </w:t>
      </w:r>
      <w:r w:rsidRPr="00A25176">
        <w:rPr>
          <w:rStyle w:val="FootnoteReference"/>
        </w:rPr>
        <w:t>2 that was combined with the HPC events.</w:t>
      </w:r>
    </w:p>
    <w:p w14:paraId="21BCDA30" w14:textId="0A229724" w:rsidR="004D1649" w:rsidRPr="0095703F" w:rsidRDefault="00C16984" w:rsidP="002971FB">
      <w:pPr>
        <w:ind w:left="900"/>
        <w:rPr>
          <w:rStyle w:val="FootnoteReference"/>
        </w:rPr>
      </w:pPr>
      <w:r w:rsidRPr="00EF59BD">
        <w:rPr>
          <w:rStyle w:val="FootnoteReference"/>
          <w:rFonts w:ascii="Cambria Math" w:hAnsi="Cambria Math" w:cs="Cambria Math"/>
        </w:rPr>
        <w:t>ⁱ</w:t>
      </w:r>
      <w:r w:rsidRPr="00EF59BD">
        <w:rPr>
          <w:rStyle w:val="FootnoteReference"/>
        </w:rPr>
        <w:t xml:space="preserve"> </w:t>
      </w:r>
      <w:r w:rsidR="004D1649" w:rsidRPr="0030588B">
        <w:rPr>
          <w:rStyle w:val="FootnoteReference"/>
        </w:rPr>
        <w:t>The CAAM</w:t>
      </w:r>
      <w:r w:rsidR="007910B6">
        <w:t xml:space="preserve"> </w:t>
      </w:r>
      <w:r w:rsidR="004D1649" w:rsidRPr="0030588B">
        <w:rPr>
          <w:rStyle w:val="FootnoteReference"/>
        </w:rPr>
        <w:t>1 and CAAM</w:t>
      </w:r>
      <w:r w:rsidR="007910B6">
        <w:t xml:space="preserve"> </w:t>
      </w:r>
      <w:r w:rsidR="004D1649" w:rsidRPr="0030588B">
        <w:rPr>
          <w:rStyle w:val="FootnoteReference"/>
        </w:rPr>
        <w:t>2 reports collected IPT events separately.</w:t>
      </w:r>
      <w:r w:rsidR="00E442E7">
        <w:rPr>
          <w:rStyle w:val="FootnoteReference"/>
        </w:rPr>
        <w:t xml:space="preserve"> </w:t>
      </w:r>
      <w:r w:rsidR="004D1649" w:rsidRPr="0030588B">
        <w:rPr>
          <w:rStyle w:val="FootnoteReference"/>
        </w:rPr>
        <w:t>There was one L3 turboprop IPT event identified in the CAAM</w:t>
      </w:r>
      <w:r w:rsidR="007910B6">
        <w:t xml:space="preserve"> </w:t>
      </w:r>
      <w:r w:rsidR="004D1649" w:rsidRPr="0030588B">
        <w:rPr>
          <w:rStyle w:val="FootnoteReference"/>
        </w:rPr>
        <w:t>1 report that was combined with HPT events</w:t>
      </w:r>
    </w:p>
    <w:p w14:paraId="3A82BA9C" w14:textId="786B4B5F" w:rsidR="00BD70FE" w:rsidRDefault="00BD70FE" w:rsidP="000855F2">
      <w:pPr>
        <w:pStyle w:val="Caption"/>
      </w:pPr>
      <w:r>
        <w:lastRenderedPageBreak/>
        <w:t>Table D-</w:t>
      </w:r>
      <w:r w:rsidR="00474107">
        <w:t>3</w:t>
      </w:r>
      <w:r>
        <w:rPr>
          <w:noProof/>
        </w:rPr>
        <w:fldChar w:fldCharType="begin"/>
      </w:r>
      <w:r>
        <w:rPr>
          <w:noProof/>
        </w:rPr>
        <w:instrText xml:space="preserve"> SEQ Table \* ARABIC </w:instrText>
      </w:r>
      <w:r>
        <w:rPr>
          <w:noProof/>
        </w:rPr>
        <w:fldChar w:fldCharType="separate"/>
      </w:r>
      <w:r>
        <w:rPr>
          <w:noProof/>
        </w:rPr>
        <w:fldChar w:fldCharType="end"/>
      </w:r>
      <w:r>
        <w:t xml:space="preserve"> </w:t>
      </w:r>
      <w:r w:rsidRPr="00630B6A">
        <w:t>-</w:t>
      </w:r>
      <w:r>
        <w:t xml:space="preserve"> Uncontained Disk Hazard Ratios </w:t>
      </w:r>
      <w:r w:rsidR="00474107">
        <w:t xml:space="preserve">of </w:t>
      </w:r>
      <w:r w:rsidR="000709A9">
        <w:t>Low-Pressure</w:t>
      </w:r>
      <w:r w:rsidR="00474107">
        <w:t xml:space="preserve"> Turbine (</w:t>
      </w:r>
      <w:r>
        <w:t>LPT</w:t>
      </w:r>
      <w:r w:rsidR="000B7BF4">
        <w:t>)</w:t>
      </w:r>
    </w:p>
    <w:p w14:paraId="3DA3DB06" w14:textId="11364081" w:rsidR="00BD70FE" w:rsidRDefault="00B1380B" w:rsidP="00BD70FE">
      <w:pPr>
        <w:keepNext/>
        <w:ind w:left="907"/>
        <w:jc w:val="center"/>
      </w:pPr>
      <w:r w:rsidRPr="00B1380B">
        <w:rPr>
          <w:noProof/>
        </w:rPr>
        <w:drawing>
          <wp:inline distT="0" distB="0" distL="0" distR="0" wp14:anchorId="31867907" wp14:editId="38423595">
            <wp:extent cx="3657600" cy="3648479"/>
            <wp:effectExtent l="0" t="0" r="0" b="9525"/>
            <wp:docPr id="26" name="Picture 26" descr="This table shows th Uncontained Disk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57600" cy="3648479"/>
                    </a:xfrm>
                    <a:prstGeom prst="rect">
                      <a:avLst/>
                    </a:prstGeom>
                    <a:noFill/>
                    <a:ln>
                      <a:noFill/>
                    </a:ln>
                  </pic:spPr>
                </pic:pic>
              </a:graphicData>
            </a:graphic>
          </wp:inline>
        </w:drawing>
      </w:r>
    </w:p>
    <w:p w14:paraId="0EB5C961" w14:textId="34554E0D" w:rsidR="00BC6E3B" w:rsidRPr="000C29CC" w:rsidRDefault="00BC6E3B" w:rsidP="00A25176">
      <w:pPr>
        <w:ind w:left="907"/>
        <w:rPr>
          <w:sz w:val="16"/>
          <w:szCs w:val="16"/>
        </w:rPr>
      </w:pPr>
      <w:r w:rsidRPr="000C29CC">
        <w:rPr>
          <w:sz w:val="16"/>
          <w:szCs w:val="16"/>
        </w:rPr>
        <w:t>Note</w:t>
      </w:r>
      <w:r w:rsidR="00AB265A">
        <w:rPr>
          <w:sz w:val="16"/>
          <w:szCs w:val="16"/>
        </w:rPr>
        <w:t>:</w:t>
      </w:r>
      <w:r>
        <w:rPr>
          <w:sz w:val="16"/>
          <w:szCs w:val="16"/>
        </w:rPr>
        <w:t xml:space="preserve"> </w:t>
      </w:r>
      <w:r w:rsidR="00863FA5">
        <w:rPr>
          <w:sz w:val="16"/>
          <w:szCs w:val="16"/>
        </w:rPr>
        <w:t>H</w:t>
      </w:r>
      <w:r>
        <w:rPr>
          <w:sz w:val="16"/>
          <w:szCs w:val="16"/>
        </w:rPr>
        <w:t>azard ratios were not calculated by rotor type in the CAAM 1 report and are not shown in the CAAM 1 section of the table</w:t>
      </w:r>
      <w:r w:rsidR="00863FA5">
        <w:rPr>
          <w:sz w:val="16"/>
          <w:szCs w:val="16"/>
        </w:rPr>
        <w:t>.</w:t>
      </w:r>
      <w:r w:rsidR="00FF43D2">
        <w:rPr>
          <w:sz w:val="16"/>
          <w:szCs w:val="16"/>
        </w:rPr>
        <w:t xml:space="preserve"> </w:t>
      </w:r>
      <w:r w:rsidR="00FF43D2" w:rsidRPr="00A25176">
        <w:rPr>
          <w:rStyle w:val="FootnoteReference"/>
        </w:rPr>
        <w:t>The CAAM</w:t>
      </w:r>
      <w:r w:rsidR="007910B6">
        <w:t xml:space="preserve"> </w:t>
      </w:r>
      <w:r w:rsidR="00FF43D2" w:rsidRPr="00A25176">
        <w:rPr>
          <w:rStyle w:val="FootnoteReference"/>
        </w:rPr>
        <w:t>1 report did not include L5 as a classification.</w:t>
      </w:r>
      <w:r w:rsidR="00E442E7">
        <w:rPr>
          <w:rStyle w:val="FootnoteReference"/>
        </w:rPr>
        <w:t xml:space="preserve"> </w:t>
      </w:r>
      <w:r w:rsidR="00FF43D2" w:rsidRPr="00A25176">
        <w:rPr>
          <w:rStyle w:val="FootnoteReference"/>
        </w:rPr>
        <w:t xml:space="preserve">These events were reclassified as L5 in the original release of </w:t>
      </w:r>
      <w:bookmarkStart w:id="38" w:name="_Hlk151993550"/>
      <w:r w:rsidR="00FF43D2" w:rsidRPr="00A25176">
        <w:rPr>
          <w:rStyle w:val="FootnoteReference"/>
        </w:rPr>
        <w:t>AC 39-8.</w:t>
      </w:r>
      <w:bookmarkStart w:id="39" w:name="_Hlk150808778"/>
      <w:bookmarkEnd w:id="38"/>
      <w:r w:rsidR="00E442E7">
        <w:rPr>
          <w:rStyle w:val="FootnoteReference"/>
        </w:rPr>
        <w:t xml:space="preserve"> </w:t>
      </w:r>
      <w:r w:rsidR="00FF43D2" w:rsidRPr="00A25176">
        <w:rPr>
          <w:rStyle w:val="FootnoteReference"/>
        </w:rPr>
        <w:t>The CAAM</w:t>
      </w:r>
      <w:r w:rsidR="007910B6">
        <w:t xml:space="preserve"> </w:t>
      </w:r>
      <w:r w:rsidR="00FF43D2" w:rsidRPr="00A25176">
        <w:rPr>
          <w:rStyle w:val="FootnoteReference"/>
        </w:rPr>
        <w:t>2 report collected IPC events separately.</w:t>
      </w:r>
      <w:r w:rsidR="00E442E7">
        <w:rPr>
          <w:rStyle w:val="FootnoteReference"/>
        </w:rPr>
        <w:t xml:space="preserve"> </w:t>
      </w:r>
      <w:r w:rsidR="00FF43D2" w:rsidRPr="00A25176">
        <w:rPr>
          <w:rStyle w:val="FootnoteReference"/>
        </w:rPr>
        <w:t>There was one high bypass turbofan L3 IPC event identified in CAAM</w:t>
      </w:r>
      <w:r w:rsidR="007910B6">
        <w:t xml:space="preserve"> </w:t>
      </w:r>
      <w:r w:rsidR="00FF43D2" w:rsidRPr="00A25176">
        <w:rPr>
          <w:rStyle w:val="FootnoteReference"/>
        </w:rPr>
        <w:t>2 that was combined with the HPC events.</w:t>
      </w:r>
      <w:bookmarkEnd w:id="39"/>
      <w:r w:rsidR="00FF43D2">
        <w:t xml:space="preserve"> </w:t>
      </w:r>
      <w:bookmarkStart w:id="40" w:name="_Hlk151974222"/>
      <w:r w:rsidR="00FF43D2" w:rsidRPr="0030588B">
        <w:rPr>
          <w:rStyle w:val="FootnoteReference"/>
        </w:rPr>
        <w:t>The CAAM</w:t>
      </w:r>
      <w:r w:rsidR="007910B6">
        <w:t xml:space="preserve"> </w:t>
      </w:r>
      <w:r w:rsidR="00FF43D2" w:rsidRPr="0030588B">
        <w:rPr>
          <w:rStyle w:val="FootnoteReference"/>
        </w:rPr>
        <w:t>1 and CAAM</w:t>
      </w:r>
      <w:r w:rsidR="007910B6">
        <w:t xml:space="preserve"> </w:t>
      </w:r>
      <w:r w:rsidR="00FF43D2" w:rsidRPr="0030588B">
        <w:rPr>
          <w:rStyle w:val="FootnoteReference"/>
        </w:rPr>
        <w:t>2 reports collected IPT events separately.</w:t>
      </w:r>
      <w:r w:rsidR="00E442E7">
        <w:rPr>
          <w:rStyle w:val="FootnoteReference"/>
        </w:rPr>
        <w:t xml:space="preserve"> </w:t>
      </w:r>
      <w:r w:rsidR="00FF43D2" w:rsidRPr="0030588B">
        <w:rPr>
          <w:rStyle w:val="FootnoteReference"/>
        </w:rPr>
        <w:t>There was one L3 turboprop IPT event identified in the CAAM</w:t>
      </w:r>
      <w:r w:rsidR="007910B6">
        <w:t xml:space="preserve"> </w:t>
      </w:r>
      <w:r w:rsidR="00FF43D2" w:rsidRPr="0030588B">
        <w:rPr>
          <w:rStyle w:val="FootnoteReference"/>
        </w:rPr>
        <w:t>1 report that was combined with HPT events.</w:t>
      </w:r>
    </w:p>
    <w:bookmarkEnd w:id="40"/>
    <w:p w14:paraId="6EFB48C1" w14:textId="468688B9" w:rsidR="00A25176" w:rsidRDefault="0030588B" w:rsidP="00A25176">
      <w:pPr>
        <w:ind w:left="907"/>
        <w:rPr>
          <w:rStyle w:val="FootnoteReference"/>
        </w:rPr>
      </w:pPr>
      <w:r w:rsidRPr="00A25176">
        <w:rPr>
          <w:rStyle w:val="FootnoteReference"/>
        </w:rPr>
        <w:t xml:space="preserve">† The data </w:t>
      </w:r>
      <w:r w:rsidR="00D53BD5">
        <w:rPr>
          <w:rStyle w:val="FootnoteReference"/>
        </w:rPr>
        <w:t>i</w:t>
      </w:r>
      <w:r w:rsidR="00D53BD5" w:rsidRPr="00CC694E">
        <w:rPr>
          <w:vertAlign w:val="superscript"/>
        </w:rPr>
        <w:t>s</w:t>
      </w:r>
      <w:r w:rsidR="00D53BD5" w:rsidRPr="00D53BD5">
        <w:rPr>
          <w:rStyle w:val="FootnoteReference"/>
        </w:rPr>
        <w:t xml:space="preserve"> </w:t>
      </w:r>
      <w:r w:rsidRPr="00A25176">
        <w:rPr>
          <w:rStyle w:val="FootnoteReference"/>
        </w:rPr>
        <w:t>combined here for convenience.</w:t>
      </w:r>
      <w:r w:rsidR="00E442E7">
        <w:rPr>
          <w:rStyle w:val="FootnoteReference"/>
        </w:rPr>
        <w:t xml:space="preserve"> </w:t>
      </w:r>
      <w:r w:rsidR="00A51991" w:rsidRPr="008C6D69">
        <w:rPr>
          <w:rStyle w:val="FootnoteReference"/>
        </w:rPr>
        <w:t>The user should review the event descriptions and definitions in the CAAM reports for relevance to the particular issue being assessed.</w:t>
      </w:r>
    </w:p>
    <w:p w14:paraId="75CFD484" w14:textId="1D563E85" w:rsidR="00FF43D2" w:rsidRDefault="00FF43D2" w:rsidP="000855F2">
      <w:pPr>
        <w:pStyle w:val="Caption"/>
      </w:pPr>
      <w:r>
        <w:lastRenderedPageBreak/>
        <w:t>Table D-</w:t>
      </w:r>
      <w:r>
        <w:rPr>
          <w:noProof/>
        </w:rPr>
        <w:fldChar w:fldCharType="begin"/>
      </w:r>
      <w:r>
        <w:rPr>
          <w:noProof/>
        </w:rPr>
        <w:instrText xml:space="preserve"> SEQ Table \* ARABIC </w:instrText>
      </w:r>
      <w:r>
        <w:rPr>
          <w:noProof/>
        </w:rPr>
        <w:fldChar w:fldCharType="separate"/>
      </w:r>
      <w:r w:rsidR="00474107">
        <w:rPr>
          <w:noProof/>
        </w:rPr>
        <w:t>4</w:t>
      </w:r>
      <w:r>
        <w:rPr>
          <w:noProof/>
        </w:rPr>
        <w:fldChar w:fldCharType="end"/>
      </w:r>
      <w:r>
        <w:rPr>
          <w:noProof/>
        </w:rPr>
        <w:t xml:space="preserve"> </w:t>
      </w:r>
      <w:r w:rsidRPr="00630B6A">
        <w:t xml:space="preserve">- Uncontained Blade </w:t>
      </w:r>
      <w:r w:rsidRPr="00971ADB">
        <w:t>Hazard</w:t>
      </w:r>
      <w:r w:rsidRPr="00630B6A">
        <w:t xml:space="preserve"> Ratios (Fan</w:t>
      </w:r>
      <w:r>
        <w:t xml:space="preserve"> and</w:t>
      </w:r>
      <w:r w:rsidRPr="00630B6A">
        <w:t xml:space="preserve"> Platforms)</w:t>
      </w:r>
    </w:p>
    <w:p w14:paraId="4046EF3C" w14:textId="04A9BF72" w:rsidR="00F82DED" w:rsidRDefault="00B1380B" w:rsidP="00F82DED">
      <w:pPr>
        <w:keepNext/>
        <w:ind w:left="900"/>
        <w:jc w:val="center"/>
      </w:pPr>
      <w:r w:rsidRPr="00B1380B">
        <w:rPr>
          <w:noProof/>
        </w:rPr>
        <w:drawing>
          <wp:inline distT="0" distB="0" distL="0" distR="0" wp14:anchorId="70F9877A" wp14:editId="6FA7956C">
            <wp:extent cx="5486400" cy="3065027"/>
            <wp:effectExtent l="0" t="0" r="0" b="2540"/>
            <wp:docPr id="27" name="Picture 27" descr="This table shows the uncontained blade hazard rati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86400" cy="3065027"/>
                    </a:xfrm>
                    <a:prstGeom prst="rect">
                      <a:avLst/>
                    </a:prstGeom>
                    <a:noFill/>
                    <a:ln>
                      <a:noFill/>
                    </a:ln>
                  </pic:spPr>
                </pic:pic>
              </a:graphicData>
            </a:graphic>
          </wp:inline>
        </w:drawing>
      </w:r>
    </w:p>
    <w:p w14:paraId="2D361BAC" w14:textId="1F8B04DB" w:rsidR="002971FB" w:rsidRPr="0095703F" w:rsidRDefault="002971FB" w:rsidP="002971FB">
      <w:pPr>
        <w:ind w:left="900"/>
        <w:rPr>
          <w:rStyle w:val="FootnoteReference"/>
        </w:rPr>
      </w:pPr>
      <w:r w:rsidRPr="0095703F">
        <w:rPr>
          <w:rStyle w:val="FootnoteReference"/>
        </w:rPr>
        <w:t xml:space="preserve">† The data </w:t>
      </w:r>
      <w:r w:rsidR="00D53BD5">
        <w:rPr>
          <w:rStyle w:val="FootnoteReference"/>
        </w:rPr>
        <w:t>i</w:t>
      </w:r>
      <w:r w:rsidR="00D53BD5" w:rsidRPr="00CC694E">
        <w:rPr>
          <w:vertAlign w:val="superscript"/>
        </w:rPr>
        <w:t>s</w:t>
      </w:r>
      <w:r w:rsidR="00D53BD5" w:rsidRPr="0095703F">
        <w:rPr>
          <w:rStyle w:val="FootnoteReference"/>
        </w:rPr>
        <w:t xml:space="preserve"> </w:t>
      </w:r>
      <w:r w:rsidRPr="0095703F">
        <w:rPr>
          <w:rStyle w:val="FootnoteReference"/>
        </w:rPr>
        <w:t>combined here for convenience.</w:t>
      </w:r>
      <w:r w:rsidR="00E442E7">
        <w:rPr>
          <w:rStyle w:val="FootnoteReference"/>
        </w:rPr>
        <w:t xml:space="preserve"> </w:t>
      </w:r>
      <w:r w:rsidRPr="0095703F">
        <w:rPr>
          <w:rStyle w:val="FootnoteReference"/>
        </w:rPr>
        <w:t>The user should review the event descriptions and definitions in the CAAM reports for relevance to the particular issue being assessed.</w:t>
      </w:r>
    </w:p>
    <w:p w14:paraId="3D199C54" w14:textId="0FB07AE4" w:rsidR="00A543EF" w:rsidRDefault="00A543EF" w:rsidP="000855F2">
      <w:pPr>
        <w:pStyle w:val="Caption"/>
      </w:pPr>
      <w:r>
        <w:t>Table D-</w:t>
      </w:r>
      <w:r>
        <w:rPr>
          <w:noProof/>
        </w:rPr>
        <w:fldChar w:fldCharType="begin"/>
      </w:r>
      <w:r>
        <w:rPr>
          <w:noProof/>
        </w:rPr>
        <w:instrText xml:space="preserve"> SEQ Table \* ARABIC </w:instrText>
      </w:r>
      <w:r>
        <w:rPr>
          <w:noProof/>
        </w:rPr>
        <w:fldChar w:fldCharType="separate"/>
      </w:r>
      <w:r w:rsidR="00474107">
        <w:rPr>
          <w:noProof/>
        </w:rPr>
        <w:t>5</w:t>
      </w:r>
      <w:r>
        <w:rPr>
          <w:noProof/>
        </w:rPr>
        <w:fldChar w:fldCharType="end"/>
      </w:r>
      <w:r>
        <w:t xml:space="preserve"> - </w:t>
      </w:r>
      <w:r w:rsidRPr="000C58A1">
        <w:t>Uncontained Blade Hazard Ratios (LPC and HPC)</w:t>
      </w:r>
    </w:p>
    <w:p w14:paraId="5172B1A3" w14:textId="0EC34249" w:rsidR="003241A6" w:rsidRDefault="00593A64" w:rsidP="000855F2">
      <w:pPr>
        <w:pStyle w:val="TOCSubheading"/>
        <w:ind w:left="900"/>
        <w:jc w:val="center"/>
      </w:pPr>
      <w:r w:rsidRPr="00593A64">
        <w:rPr>
          <w:noProof/>
        </w:rPr>
        <w:drawing>
          <wp:inline distT="0" distB="0" distL="0" distR="0" wp14:anchorId="3DF26261" wp14:editId="48C3D249">
            <wp:extent cx="5486400" cy="3065027"/>
            <wp:effectExtent l="0" t="0" r="0" b="2540"/>
            <wp:docPr id="28" name="Picture 28" descr="This is an image of a table that depicts uncontained blade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86400" cy="3065027"/>
                    </a:xfrm>
                    <a:prstGeom prst="rect">
                      <a:avLst/>
                    </a:prstGeom>
                    <a:noFill/>
                    <a:ln>
                      <a:noFill/>
                    </a:ln>
                  </pic:spPr>
                </pic:pic>
              </a:graphicData>
            </a:graphic>
          </wp:inline>
        </w:drawing>
      </w:r>
    </w:p>
    <w:p w14:paraId="16DE6E0B" w14:textId="29B5DCC3" w:rsidR="002971FB" w:rsidRPr="0095703F" w:rsidRDefault="002971FB" w:rsidP="002971FB">
      <w:pPr>
        <w:ind w:left="900"/>
        <w:rPr>
          <w:rStyle w:val="FootnoteReference"/>
        </w:rPr>
      </w:pPr>
      <w:r w:rsidRPr="0095703F">
        <w:rPr>
          <w:rStyle w:val="FootnoteReference"/>
        </w:rPr>
        <w:t xml:space="preserve">† The data </w:t>
      </w:r>
      <w:r w:rsidR="00D53BD5">
        <w:rPr>
          <w:rStyle w:val="FootnoteReference"/>
        </w:rPr>
        <w:t>i</w:t>
      </w:r>
      <w:r w:rsidR="00D53BD5" w:rsidRPr="00CC694E">
        <w:rPr>
          <w:vertAlign w:val="superscript"/>
        </w:rPr>
        <w:t>s</w:t>
      </w:r>
      <w:r w:rsidR="00D53BD5" w:rsidRPr="0095703F">
        <w:rPr>
          <w:rStyle w:val="FootnoteReference"/>
        </w:rPr>
        <w:t xml:space="preserve"> </w:t>
      </w:r>
      <w:r w:rsidRPr="0095703F">
        <w:rPr>
          <w:rStyle w:val="FootnoteReference"/>
        </w:rPr>
        <w:t>combined here for convenience.</w:t>
      </w:r>
      <w:r w:rsidR="00E442E7">
        <w:rPr>
          <w:rStyle w:val="FootnoteReference"/>
        </w:rPr>
        <w:t xml:space="preserve"> </w:t>
      </w:r>
      <w:r w:rsidRPr="0095703F">
        <w:rPr>
          <w:rStyle w:val="FootnoteReference"/>
        </w:rPr>
        <w:t>The user should review the event descriptions and definitions in the CAAM reports for relevance to the particular issue being assessed.</w:t>
      </w:r>
    </w:p>
    <w:p w14:paraId="632A5EBE" w14:textId="40993A0D" w:rsidR="00A543EF" w:rsidRDefault="00A543EF" w:rsidP="000855F2">
      <w:pPr>
        <w:pStyle w:val="Caption"/>
      </w:pPr>
      <w:r>
        <w:lastRenderedPageBreak/>
        <w:t>Table D-</w:t>
      </w:r>
      <w:r w:rsidR="00474107">
        <w:rPr>
          <w:noProof/>
        </w:rPr>
        <w:t>6</w:t>
      </w:r>
      <w:r>
        <w:t xml:space="preserve"> - Uncontained Blade Hazard Ratios (HPT/IPT and LPT)</w:t>
      </w:r>
    </w:p>
    <w:p w14:paraId="13A427B9" w14:textId="19BE62E7" w:rsidR="00593A64" w:rsidRDefault="00593A64" w:rsidP="00593A64">
      <w:pPr>
        <w:keepNext/>
        <w:jc w:val="center"/>
      </w:pPr>
      <w:r w:rsidRPr="00593A64">
        <w:rPr>
          <w:noProof/>
        </w:rPr>
        <w:drawing>
          <wp:inline distT="0" distB="0" distL="0" distR="0" wp14:anchorId="35E83643" wp14:editId="7833081B">
            <wp:extent cx="5486400" cy="3065027"/>
            <wp:effectExtent l="0" t="0" r="0" b="2540"/>
            <wp:docPr id="29" name="Picture 29" descr="This table image depicts uncontained blade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86400" cy="3065027"/>
                    </a:xfrm>
                    <a:prstGeom prst="rect">
                      <a:avLst/>
                    </a:prstGeom>
                    <a:noFill/>
                    <a:ln>
                      <a:noFill/>
                    </a:ln>
                  </pic:spPr>
                </pic:pic>
              </a:graphicData>
            </a:graphic>
          </wp:inline>
        </w:drawing>
      </w:r>
    </w:p>
    <w:p w14:paraId="3029D3A0" w14:textId="77777777" w:rsidR="00BC6E3B" w:rsidRPr="000C29CC" w:rsidRDefault="00BC6E3B" w:rsidP="000C29CC">
      <w:pPr>
        <w:ind w:left="907"/>
        <w:rPr>
          <w:sz w:val="16"/>
          <w:szCs w:val="16"/>
        </w:rPr>
      </w:pPr>
      <w:bookmarkStart w:id="41" w:name="_Hlk150808640"/>
      <w:r w:rsidRPr="00F2491A">
        <w:rPr>
          <w:sz w:val="16"/>
          <w:szCs w:val="16"/>
        </w:rPr>
        <w:t>Note</w:t>
      </w:r>
      <w:r w:rsidR="00863FA5">
        <w:rPr>
          <w:sz w:val="16"/>
          <w:szCs w:val="16"/>
        </w:rPr>
        <w:t>: H</w:t>
      </w:r>
      <w:r>
        <w:rPr>
          <w:sz w:val="16"/>
          <w:szCs w:val="16"/>
        </w:rPr>
        <w:t>azard ratios were not calculated by rotor type in the CAAM 1 report and are not shown in the CAAM 1 section of the table</w:t>
      </w:r>
      <w:r w:rsidR="00863FA5">
        <w:rPr>
          <w:sz w:val="16"/>
          <w:szCs w:val="16"/>
        </w:rPr>
        <w:t>.</w:t>
      </w:r>
    </w:p>
    <w:p w14:paraId="4FA86888" w14:textId="25614A32" w:rsidR="006A1D9B" w:rsidRPr="0095703F" w:rsidRDefault="006A1D9B" w:rsidP="006A1D9B">
      <w:pPr>
        <w:ind w:left="900"/>
        <w:rPr>
          <w:rStyle w:val="FootnoteReference"/>
        </w:rPr>
      </w:pPr>
      <w:bookmarkStart w:id="42" w:name="_Hlk151992720"/>
      <w:r w:rsidRPr="0095703F">
        <w:rPr>
          <w:rStyle w:val="FootnoteReference"/>
        </w:rPr>
        <w:t xml:space="preserve">† The data </w:t>
      </w:r>
      <w:r w:rsidR="00D53BD5">
        <w:rPr>
          <w:rStyle w:val="FootnoteReference"/>
        </w:rPr>
        <w:t>i</w:t>
      </w:r>
      <w:r w:rsidR="00D53BD5" w:rsidRPr="00785028">
        <w:rPr>
          <w:vertAlign w:val="superscript"/>
        </w:rPr>
        <w:t>s</w:t>
      </w:r>
      <w:r w:rsidR="00D53BD5" w:rsidRPr="0095703F">
        <w:rPr>
          <w:rStyle w:val="FootnoteReference"/>
        </w:rPr>
        <w:t xml:space="preserve"> </w:t>
      </w:r>
      <w:r w:rsidRPr="0095703F">
        <w:rPr>
          <w:rStyle w:val="FootnoteReference"/>
        </w:rPr>
        <w:t>combined here for convenience.</w:t>
      </w:r>
      <w:r w:rsidR="00E442E7">
        <w:rPr>
          <w:rStyle w:val="FootnoteReference"/>
        </w:rPr>
        <w:t xml:space="preserve"> </w:t>
      </w:r>
      <w:r w:rsidRPr="0095703F">
        <w:rPr>
          <w:rStyle w:val="FootnoteReference"/>
        </w:rPr>
        <w:t>The user should review the event descriptions and definitions in the CAAM reports for relevance to the particular issue being assessed.</w:t>
      </w:r>
    </w:p>
    <w:bookmarkEnd w:id="42"/>
    <w:p w14:paraId="0ABF0738" w14:textId="03F45911" w:rsidR="006A1D9B" w:rsidRPr="0095703F" w:rsidRDefault="006A1D9B" w:rsidP="006A1D9B">
      <w:pPr>
        <w:ind w:left="900"/>
        <w:rPr>
          <w:rStyle w:val="FootnoteReference"/>
        </w:rPr>
      </w:pPr>
      <w:r w:rsidRPr="0095703F">
        <w:rPr>
          <w:rStyle w:val="FootnoteReference"/>
        </w:rPr>
        <w:t>‡ The CAAM 1 and CAAM 2 reports collected IPT blade events separately.</w:t>
      </w:r>
      <w:r w:rsidR="00E442E7">
        <w:rPr>
          <w:rStyle w:val="FootnoteReference"/>
        </w:rPr>
        <w:t xml:space="preserve"> </w:t>
      </w:r>
      <w:r w:rsidRPr="0095703F">
        <w:rPr>
          <w:rStyle w:val="FootnoteReference"/>
        </w:rPr>
        <w:t>There was one turboprop IPT blade event in each report that was combined with the HPT events.</w:t>
      </w:r>
    </w:p>
    <w:bookmarkEnd w:id="41"/>
    <w:p w14:paraId="059B7020" w14:textId="7D042819" w:rsidR="00A543EF" w:rsidRDefault="00A543EF" w:rsidP="000855F2">
      <w:pPr>
        <w:pStyle w:val="Caption"/>
      </w:pPr>
      <w:r>
        <w:t>Table D-</w:t>
      </w:r>
      <w:r w:rsidR="00474107">
        <w:rPr>
          <w:noProof/>
        </w:rPr>
        <w:t>7</w:t>
      </w:r>
      <w:r>
        <w:t xml:space="preserve"> - </w:t>
      </w:r>
      <w:r>
        <w:rPr>
          <w:noProof/>
        </w:rPr>
        <w:t>Uncontained "Other" Hazard Ratios (Fan and HPC)</w:t>
      </w:r>
    </w:p>
    <w:p w14:paraId="5D84B2B4" w14:textId="6B0D1AA2" w:rsidR="0016363F" w:rsidRDefault="0016363F" w:rsidP="0016363F">
      <w:pPr>
        <w:keepNext/>
        <w:jc w:val="center"/>
      </w:pPr>
      <w:r w:rsidRPr="0016363F">
        <w:rPr>
          <w:noProof/>
        </w:rPr>
        <w:drawing>
          <wp:inline distT="0" distB="0" distL="0" distR="0" wp14:anchorId="62A13095" wp14:editId="060D8E78">
            <wp:extent cx="5486400" cy="3065027"/>
            <wp:effectExtent l="0" t="0" r="0" b="2540"/>
            <wp:docPr id="31" name="Picture 31" descr="This table image depicts uncontained &quot;other&quot; hazard ratios. "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86400" cy="3065027"/>
                    </a:xfrm>
                    <a:prstGeom prst="rect">
                      <a:avLst/>
                    </a:prstGeom>
                    <a:noFill/>
                    <a:ln>
                      <a:noFill/>
                    </a:ln>
                  </pic:spPr>
                </pic:pic>
              </a:graphicData>
            </a:graphic>
          </wp:inline>
        </w:drawing>
      </w:r>
    </w:p>
    <w:p w14:paraId="38B84EFB" w14:textId="79355151" w:rsidR="002971FB" w:rsidRPr="0095703F" w:rsidRDefault="002971FB" w:rsidP="002971FB">
      <w:pPr>
        <w:ind w:left="900"/>
        <w:rPr>
          <w:rStyle w:val="FootnoteReference"/>
        </w:rPr>
      </w:pPr>
      <w:r w:rsidRPr="0095703F">
        <w:rPr>
          <w:rStyle w:val="FootnoteReference"/>
        </w:rPr>
        <w:t xml:space="preserve">† The data </w:t>
      </w:r>
      <w:r w:rsidR="00D53BD5">
        <w:rPr>
          <w:rStyle w:val="FootnoteReference"/>
        </w:rPr>
        <w:t>i</w:t>
      </w:r>
      <w:r w:rsidR="00D53BD5" w:rsidRPr="00785028">
        <w:rPr>
          <w:vertAlign w:val="superscript"/>
        </w:rPr>
        <w:t>s</w:t>
      </w:r>
      <w:r w:rsidR="00D53BD5" w:rsidRPr="0095703F">
        <w:rPr>
          <w:rStyle w:val="FootnoteReference"/>
        </w:rPr>
        <w:t xml:space="preserve"> </w:t>
      </w:r>
      <w:r w:rsidRPr="0095703F">
        <w:rPr>
          <w:rStyle w:val="FootnoteReference"/>
        </w:rPr>
        <w:t>combined here for convenience.</w:t>
      </w:r>
      <w:r w:rsidR="00E442E7">
        <w:rPr>
          <w:rStyle w:val="FootnoteReference"/>
        </w:rPr>
        <w:t xml:space="preserve"> </w:t>
      </w:r>
      <w:r w:rsidRPr="0095703F">
        <w:rPr>
          <w:rStyle w:val="FootnoteReference"/>
        </w:rPr>
        <w:t>The user should review the event descriptions and definitions in the CAAM reports for relevance to the particular issue being assessed.</w:t>
      </w:r>
    </w:p>
    <w:p w14:paraId="0FEA56D1" w14:textId="398F80E4" w:rsidR="00C338DD" w:rsidRPr="0030588B" w:rsidRDefault="00C338DD" w:rsidP="000855F2">
      <w:pPr>
        <w:pStyle w:val="Caption"/>
      </w:pPr>
      <w:r>
        <w:lastRenderedPageBreak/>
        <w:t>Table D-</w:t>
      </w:r>
      <w:r w:rsidR="00474107">
        <w:rPr>
          <w:noProof/>
        </w:rPr>
        <w:t>8</w:t>
      </w:r>
      <w:r>
        <w:t xml:space="preserve"> - Uncontained "Other" Hazard Ratios (HPT and LPT/PT)</w:t>
      </w:r>
    </w:p>
    <w:p w14:paraId="162B1E95" w14:textId="24A9AB71" w:rsidR="0016363F" w:rsidRDefault="0030588B" w:rsidP="0016363F">
      <w:pPr>
        <w:pStyle w:val="TOCSubheading"/>
        <w:keepNext/>
        <w:ind w:left="900"/>
        <w:jc w:val="center"/>
      </w:pPr>
      <w:r>
        <w:rPr>
          <w:b w:val="0"/>
          <w:noProof/>
        </w:rPr>
        <w:drawing>
          <wp:inline distT="0" distB="0" distL="0" distR="0" wp14:anchorId="74E1B402" wp14:editId="057DA01A">
            <wp:extent cx="5486400" cy="3069604"/>
            <wp:effectExtent l="0" t="0" r="0" b="0"/>
            <wp:docPr id="13" name="Picture 13" descr="This table image depicts uncontained &quot;other&quot;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86400" cy="3069604"/>
                    </a:xfrm>
                    <a:prstGeom prst="rect">
                      <a:avLst/>
                    </a:prstGeom>
                    <a:noFill/>
                    <a:ln>
                      <a:noFill/>
                    </a:ln>
                  </pic:spPr>
                </pic:pic>
              </a:graphicData>
            </a:graphic>
          </wp:inline>
        </w:drawing>
      </w:r>
    </w:p>
    <w:p w14:paraId="4792145F" w14:textId="77777777" w:rsidR="0030588B" w:rsidRPr="0030588B" w:rsidRDefault="0030588B" w:rsidP="0030588B">
      <w:pPr>
        <w:ind w:left="907"/>
        <w:rPr>
          <w:rStyle w:val="FootnoteReference"/>
        </w:rPr>
      </w:pPr>
      <w:r w:rsidRPr="0030588B">
        <w:rPr>
          <w:rStyle w:val="FootnoteReference"/>
        </w:rPr>
        <w:t>"Other" includes spinners, cooling</w:t>
      </w:r>
      <w:r>
        <w:rPr>
          <w:rStyle w:val="FootnoteReference"/>
        </w:rPr>
        <w:t xml:space="preserve"> plates, spacers, and air seals.</w:t>
      </w:r>
    </w:p>
    <w:p w14:paraId="4A245195" w14:textId="6269D10C" w:rsidR="00BC6E3B" w:rsidRPr="000C29CC" w:rsidRDefault="00BC6E3B">
      <w:pPr>
        <w:ind w:left="907"/>
        <w:rPr>
          <w:sz w:val="16"/>
          <w:szCs w:val="16"/>
        </w:rPr>
      </w:pPr>
      <w:r w:rsidRPr="00F2491A">
        <w:rPr>
          <w:sz w:val="16"/>
          <w:szCs w:val="16"/>
        </w:rPr>
        <w:t>Note</w:t>
      </w:r>
      <w:r w:rsidR="00863FA5">
        <w:rPr>
          <w:sz w:val="16"/>
          <w:szCs w:val="16"/>
        </w:rPr>
        <w:t>: H</w:t>
      </w:r>
      <w:r>
        <w:rPr>
          <w:sz w:val="16"/>
          <w:szCs w:val="16"/>
        </w:rPr>
        <w:t xml:space="preserve">azard ratios were not calculated by rotor type in the CAAM 1 </w:t>
      </w:r>
      <w:r w:rsidR="000709A9">
        <w:rPr>
          <w:sz w:val="16"/>
          <w:szCs w:val="16"/>
        </w:rPr>
        <w:t>report and</w:t>
      </w:r>
      <w:r>
        <w:rPr>
          <w:sz w:val="16"/>
          <w:szCs w:val="16"/>
        </w:rPr>
        <w:t xml:space="preserve"> are therefore not shown in the CAAM 1 section of the table</w:t>
      </w:r>
      <w:r w:rsidR="00863FA5">
        <w:rPr>
          <w:sz w:val="16"/>
          <w:szCs w:val="16"/>
        </w:rPr>
        <w:t>.</w:t>
      </w:r>
    </w:p>
    <w:p w14:paraId="6E5AAF7F" w14:textId="136050A8" w:rsidR="0030588B" w:rsidRPr="0030588B" w:rsidRDefault="0030588B" w:rsidP="0030588B">
      <w:pPr>
        <w:ind w:left="907"/>
        <w:rPr>
          <w:vertAlign w:val="superscript"/>
        </w:rPr>
      </w:pPr>
      <w:r w:rsidRPr="0030588B">
        <w:rPr>
          <w:rStyle w:val="FootnoteReference"/>
        </w:rPr>
        <w:t xml:space="preserve">† </w:t>
      </w:r>
      <w:r w:rsidRPr="008C6D69">
        <w:rPr>
          <w:rStyle w:val="FootnoteReference"/>
        </w:rPr>
        <w:t xml:space="preserve">The data </w:t>
      </w:r>
      <w:r w:rsidR="00D53BD5">
        <w:rPr>
          <w:rStyle w:val="FootnoteReference"/>
        </w:rPr>
        <w:t>i</w:t>
      </w:r>
      <w:r w:rsidR="00D53BD5" w:rsidRPr="0002195B">
        <w:rPr>
          <w:vertAlign w:val="superscript"/>
        </w:rPr>
        <w:t>s</w:t>
      </w:r>
      <w:r w:rsidR="00D53BD5" w:rsidRPr="008C6D69">
        <w:rPr>
          <w:rStyle w:val="FootnoteReference"/>
        </w:rPr>
        <w:t xml:space="preserve"> </w:t>
      </w:r>
      <w:r w:rsidRPr="008C6D69">
        <w:rPr>
          <w:rStyle w:val="FootnoteReference"/>
        </w:rPr>
        <w:t>combined here for convenience.</w:t>
      </w:r>
      <w:r w:rsidR="00E442E7">
        <w:rPr>
          <w:rStyle w:val="FootnoteReference"/>
        </w:rPr>
        <w:t xml:space="preserve"> </w:t>
      </w:r>
      <w:r w:rsidRPr="008C6D69">
        <w:rPr>
          <w:rStyle w:val="FootnoteReference"/>
        </w:rPr>
        <w:t>The user should review the event descriptions and definitions in the CAAM reports for relevance to the particular issue being assessed.</w:t>
      </w:r>
    </w:p>
    <w:p w14:paraId="280B8A55" w14:textId="77777777" w:rsidR="005D7972" w:rsidRDefault="005D7972">
      <w:pPr>
        <w:rPr>
          <w:b/>
          <w:iCs/>
          <w:caps/>
        </w:rPr>
      </w:pPr>
      <w:r>
        <w:br w:type="page"/>
      </w:r>
    </w:p>
    <w:p w14:paraId="5DC6A7A2" w14:textId="77777777" w:rsidR="0030588B" w:rsidRPr="00C56E15" w:rsidRDefault="0030588B" w:rsidP="00C56E15">
      <w:pPr>
        <w:pStyle w:val="Heading7"/>
      </w:pPr>
      <w:r w:rsidRPr="00C56E15">
        <w:lastRenderedPageBreak/>
        <w:t>FAILURE CONDITION: UNDER-COWL FIRE.</w:t>
      </w:r>
    </w:p>
    <w:p w14:paraId="2919DA01" w14:textId="255F46C1" w:rsidR="00CD4C00" w:rsidRDefault="00C56E15" w:rsidP="00204F98">
      <w:pPr>
        <w:pStyle w:val="Heading8"/>
      </w:pPr>
      <w:r w:rsidRPr="00C56E15">
        <w:t>An under-cowl fire is defined as a safety-significant propulsion system fire-related event involving combustion external to the engine casings</w:t>
      </w:r>
      <w:r w:rsidRPr="00430DC3">
        <w:t>.</w:t>
      </w:r>
      <w:r w:rsidR="00E442E7">
        <w:t xml:space="preserve"> </w:t>
      </w:r>
      <w:r w:rsidR="0078499F" w:rsidRPr="00430DC3">
        <w:t>Under-cowl fires are those that occur within the nacelle and on the engine side of the strut or installation fire barrier</w:t>
      </w:r>
      <w:r w:rsidR="0078499F">
        <w:t xml:space="preserve"> or </w:t>
      </w:r>
      <w:r w:rsidR="0078499F" w:rsidRPr="00430DC3">
        <w:t>wall.</w:t>
      </w:r>
      <w:r w:rsidR="00E442E7">
        <w:t xml:space="preserve"> </w:t>
      </w:r>
      <w:r w:rsidR="0078499F" w:rsidRPr="00430DC3">
        <w:t>Internal pylon fires, including events where fuel leaks from the pylon and initiates a fire under the cowl, are to be excluded.</w:t>
      </w:r>
      <w:r w:rsidR="00E442E7">
        <w:t xml:space="preserve"> </w:t>
      </w:r>
      <w:r w:rsidR="0078499F" w:rsidRPr="00430DC3">
        <w:t xml:space="preserve">Under-cowl </w:t>
      </w:r>
      <w:r w:rsidR="001902A8">
        <w:t xml:space="preserve">fires </w:t>
      </w:r>
      <w:r w:rsidR="0078499F" w:rsidRPr="00430DC3">
        <w:t>may be within fire zones or flammable fluid zones.</w:t>
      </w:r>
      <w:r w:rsidR="00E442E7">
        <w:t xml:space="preserve"> </w:t>
      </w:r>
      <w:r w:rsidR="0078499F" w:rsidRPr="00430DC3">
        <w:t>Tailpipe fires and hot air leaks resulting in fire warnings without combustion are excluded from the definition and documented separately.</w:t>
      </w:r>
      <w:r w:rsidR="00E442E7">
        <w:t xml:space="preserve"> </w:t>
      </w:r>
      <w:r w:rsidR="0078499F" w:rsidRPr="00430DC3">
        <w:t xml:space="preserve">Fires that remain internal to </w:t>
      </w:r>
      <w:r w:rsidR="0078499F">
        <w:t>the engine casing are excluded</w:t>
      </w:r>
      <w:r w:rsidR="0078499F" w:rsidRPr="00430DC3">
        <w:t>.</w:t>
      </w:r>
    </w:p>
    <w:p w14:paraId="5FCD1E45" w14:textId="77777777" w:rsidR="002D21B7" w:rsidRPr="002D21B7" w:rsidRDefault="002D21B7" w:rsidP="002D21B7">
      <w:pPr>
        <w:pStyle w:val="Heading8"/>
        <w:rPr>
          <w:rStyle w:val="Lead-in-Bold"/>
          <w:b w:val="0"/>
          <w:szCs w:val="24"/>
        </w:rPr>
      </w:pPr>
      <w:r w:rsidRPr="002D21B7">
        <w:t xml:space="preserve">A </w:t>
      </w:r>
      <w:r w:rsidRPr="005F7EAC">
        <w:t>strut/</w:t>
      </w:r>
      <w:r w:rsidRPr="002D21B7">
        <w:t>pylon</w:t>
      </w:r>
      <w:r w:rsidR="005832B8">
        <w:t xml:space="preserve"> fire</w:t>
      </w:r>
      <w:r w:rsidRPr="002D21B7">
        <w:t xml:space="preserve"> is defined as a safety</w:t>
      </w:r>
      <w:r w:rsidRPr="00430DC3">
        <w:t xml:space="preserve">-significant fire event </w:t>
      </w:r>
      <w:r>
        <w:t>that</w:t>
      </w:r>
      <w:r w:rsidRPr="00430DC3">
        <w:t xml:space="preserve"> initiates in</w:t>
      </w:r>
      <w:r w:rsidR="00550038">
        <w:t xml:space="preserve"> or</w:t>
      </w:r>
      <w:r w:rsidR="00A21E41">
        <w:t xml:space="preserve"> </w:t>
      </w:r>
      <w:r w:rsidRPr="00430DC3">
        <w:t xml:space="preserve">around the </w:t>
      </w:r>
      <w:r w:rsidR="00550038">
        <w:t>strut/pylon</w:t>
      </w:r>
      <w:r w:rsidR="00083178">
        <w:t xml:space="preserve"> </w:t>
      </w:r>
      <w:r w:rsidRPr="00430DC3">
        <w:t>attachment area above the engine compartment in the flammable fluid leak zone and is not associated directly with engine causes or with wing fuel tank issues.</w:t>
      </w:r>
    </w:p>
    <w:p w14:paraId="523F7A56" w14:textId="77777777" w:rsidR="00C338DD" w:rsidRDefault="00C338DD" w:rsidP="00A20DBE">
      <w:pPr>
        <w:pStyle w:val="Heading8"/>
        <w:keepNext/>
        <w:numPr>
          <w:ilvl w:val="0"/>
          <w:numId w:val="0"/>
        </w:numPr>
      </w:pPr>
    </w:p>
    <w:p w14:paraId="776C9FF5" w14:textId="26F0C403" w:rsidR="00C338DD" w:rsidRDefault="00C338DD" w:rsidP="000855F2">
      <w:pPr>
        <w:pStyle w:val="Caption"/>
      </w:pPr>
      <w:r>
        <w:t>Table D-</w:t>
      </w:r>
      <w:r w:rsidR="00474107">
        <w:rPr>
          <w:noProof/>
        </w:rPr>
        <w:t>9</w:t>
      </w:r>
      <w:r>
        <w:rPr>
          <w:noProof/>
        </w:rPr>
        <w:t xml:space="preserve"> </w:t>
      </w:r>
      <w:r>
        <w:t>- Under-Cowl Fire Data</w:t>
      </w:r>
    </w:p>
    <w:p w14:paraId="5B0F28F6" w14:textId="2DC0A324" w:rsidR="0016363F" w:rsidRDefault="008C6D69" w:rsidP="0016363F">
      <w:pPr>
        <w:pStyle w:val="Heading8"/>
        <w:keepNext/>
        <w:numPr>
          <w:ilvl w:val="0"/>
          <w:numId w:val="0"/>
        </w:numPr>
        <w:jc w:val="center"/>
      </w:pPr>
      <w:r>
        <w:rPr>
          <w:b/>
          <w:noProof/>
        </w:rPr>
        <w:drawing>
          <wp:inline distT="0" distB="0" distL="0" distR="0" wp14:anchorId="18792E0A" wp14:editId="6EAF7A3D">
            <wp:extent cx="3657600" cy="3295132"/>
            <wp:effectExtent l="0" t="0" r="0" b="635"/>
            <wp:docPr id="3" name="Picture 3" descr="This table image shows under-cowl fire data"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57600" cy="3295132"/>
                    </a:xfrm>
                    <a:prstGeom prst="rect">
                      <a:avLst/>
                    </a:prstGeom>
                    <a:noFill/>
                    <a:ln>
                      <a:noFill/>
                    </a:ln>
                  </pic:spPr>
                </pic:pic>
              </a:graphicData>
            </a:graphic>
          </wp:inline>
        </w:drawing>
      </w:r>
    </w:p>
    <w:p w14:paraId="67F880AE" w14:textId="77777777" w:rsidR="008C6D69" w:rsidRPr="00836920" w:rsidRDefault="008C6D69" w:rsidP="008C6D69">
      <w:pPr>
        <w:ind w:left="900"/>
        <w:rPr>
          <w:rStyle w:val="FootnoteReference"/>
        </w:rPr>
      </w:pPr>
      <w:r w:rsidRPr="00836920">
        <w:rPr>
          <w:rStyle w:val="FootnoteReference"/>
        </w:rPr>
        <w:t>† Data was not combined due to the changes in the definition across the three reports, particularly as it relates to strut/pylon fires.</w:t>
      </w:r>
    </w:p>
    <w:p w14:paraId="436D6F26" w14:textId="7017D587" w:rsidR="008C6D69" w:rsidRPr="00836920" w:rsidRDefault="008C6D69" w:rsidP="008C6D69">
      <w:pPr>
        <w:ind w:left="900"/>
        <w:rPr>
          <w:rStyle w:val="FootnoteReference"/>
        </w:rPr>
      </w:pPr>
      <w:bookmarkStart w:id="43" w:name="_Hlk152181400"/>
      <w:r w:rsidRPr="00836920">
        <w:rPr>
          <w:rStyle w:val="FootnoteReference"/>
          <w:rFonts w:ascii="Cambria Math" w:hAnsi="Cambria Math" w:cs="Cambria Math"/>
        </w:rPr>
        <w:t>⁰</w:t>
      </w:r>
      <w:r w:rsidRPr="00836920">
        <w:rPr>
          <w:rStyle w:val="FootnoteReference"/>
        </w:rPr>
        <w:t xml:space="preserve"> </w:t>
      </w:r>
      <w:bookmarkEnd w:id="43"/>
      <w:r w:rsidRPr="00836920">
        <w:rPr>
          <w:rStyle w:val="FootnoteReference"/>
        </w:rPr>
        <w:t>CAAM 3 created a separate category for strut/pylon fires.</w:t>
      </w:r>
      <w:r w:rsidR="00E442E7">
        <w:rPr>
          <w:rStyle w:val="FootnoteReference"/>
        </w:rPr>
        <w:t xml:space="preserve"> </w:t>
      </w:r>
      <w:r w:rsidRPr="00836920">
        <w:rPr>
          <w:rStyle w:val="FootnoteReference"/>
        </w:rPr>
        <w:t>They are included here for the purposes of this AC, rather than as a separate hazard.</w:t>
      </w:r>
    </w:p>
    <w:p w14:paraId="584DD9C6" w14:textId="77777777" w:rsidR="0068466F" w:rsidRDefault="0068466F">
      <w:pPr>
        <w:rPr>
          <w:b/>
          <w:iCs/>
          <w:caps/>
        </w:rPr>
      </w:pPr>
      <w:r>
        <w:br w:type="page"/>
      </w:r>
    </w:p>
    <w:p w14:paraId="3DA85A05" w14:textId="77777777" w:rsidR="008C6D69" w:rsidRPr="008C6D69" w:rsidRDefault="008C6D69" w:rsidP="008C6D69">
      <w:pPr>
        <w:pStyle w:val="Heading7"/>
      </w:pPr>
      <w:r w:rsidRPr="008C6D69">
        <w:lastRenderedPageBreak/>
        <w:t>FAILURE CONDITION: TAILPIPE FIRE.</w:t>
      </w:r>
    </w:p>
    <w:p w14:paraId="7E924A87" w14:textId="375CAEC8" w:rsidR="008C6D69" w:rsidRDefault="002D21B7" w:rsidP="00E4228F">
      <w:pPr>
        <w:pStyle w:val="Levels1-3-OneParagraphUnderHeading"/>
      </w:pPr>
      <w:r w:rsidRPr="005E666D">
        <w:t>A tailpipe fire is defined as a f</w:t>
      </w:r>
      <w:r w:rsidR="008C6D69" w:rsidRPr="005E666D">
        <w:t>ire within the tailpipe</w:t>
      </w:r>
      <w:r w:rsidR="00E14D48" w:rsidRPr="005E666D">
        <w:t xml:space="preserve"> </w:t>
      </w:r>
      <w:r w:rsidR="008C6D69" w:rsidRPr="005E666D">
        <w:t xml:space="preserve">where visible sustained flames exit the tailpipe, including very short duration fires or fires of very small size, such as a candle flame at the </w:t>
      </w:r>
      <w:proofErr w:type="spellStart"/>
      <w:r w:rsidR="008C6D69" w:rsidRPr="005E666D">
        <w:t>centerbody</w:t>
      </w:r>
      <w:proofErr w:type="spellEnd"/>
      <w:r w:rsidR="008C6D69" w:rsidRPr="005E666D">
        <w:t>.</w:t>
      </w:r>
      <w:r w:rsidR="00E442E7" w:rsidRPr="005E666D">
        <w:t xml:space="preserve"> </w:t>
      </w:r>
      <w:r w:rsidR="008C6D69" w:rsidRPr="005E666D">
        <w:t>Engine surge/stall events and events resulting from deicing fluid ingestion are excluded</w:t>
      </w:r>
      <w:r w:rsidR="008C6D69" w:rsidRPr="008C6D69">
        <w:t>.</w:t>
      </w:r>
    </w:p>
    <w:p w14:paraId="0D1A20F1" w14:textId="77777777" w:rsidR="00C338DD" w:rsidRDefault="00C338DD" w:rsidP="0016363F">
      <w:pPr>
        <w:pStyle w:val="Heading8"/>
        <w:keepNext/>
        <w:numPr>
          <w:ilvl w:val="0"/>
          <w:numId w:val="0"/>
        </w:numPr>
        <w:jc w:val="center"/>
      </w:pPr>
    </w:p>
    <w:p w14:paraId="2C2BDAF6" w14:textId="19DC2B1D" w:rsidR="00C338DD" w:rsidRDefault="00C338DD" w:rsidP="000855F2">
      <w:pPr>
        <w:pStyle w:val="Caption"/>
      </w:pPr>
      <w:r>
        <w:t>Table D-</w:t>
      </w:r>
      <w:r w:rsidR="00474107">
        <w:rPr>
          <w:noProof/>
        </w:rPr>
        <w:t>10</w:t>
      </w:r>
      <w:r>
        <w:rPr>
          <w:noProof/>
        </w:rPr>
        <w:t xml:space="preserve"> </w:t>
      </w:r>
      <w:r>
        <w:t>- Tailpipe Fire Data</w:t>
      </w:r>
    </w:p>
    <w:p w14:paraId="4D421FA4" w14:textId="34F744E0" w:rsidR="0016363F" w:rsidRDefault="008C6D69" w:rsidP="0016363F">
      <w:pPr>
        <w:pStyle w:val="Heading8"/>
        <w:keepNext/>
        <w:numPr>
          <w:ilvl w:val="0"/>
          <w:numId w:val="0"/>
        </w:numPr>
        <w:jc w:val="center"/>
      </w:pPr>
      <w:r>
        <w:rPr>
          <w:noProof/>
        </w:rPr>
        <w:drawing>
          <wp:inline distT="0" distB="0" distL="0" distR="0" wp14:anchorId="0D22AF1C" wp14:editId="6FEBD41A">
            <wp:extent cx="3657600" cy="2932671"/>
            <wp:effectExtent l="0" t="0" r="0" b="1270"/>
            <wp:docPr id="6" name="Picture 6" descr="This table image depicts tailpipe fire data."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57600" cy="2932671"/>
                    </a:xfrm>
                    <a:prstGeom prst="rect">
                      <a:avLst/>
                    </a:prstGeom>
                    <a:noFill/>
                    <a:ln>
                      <a:noFill/>
                    </a:ln>
                  </pic:spPr>
                </pic:pic>
              </a:graphicData>
            </a:graphic>
          </wp:inline>
        </w:drawing>
      </w:r>
    </w:p>
    <w:p w14:paraId="242622B6" w14:textId="6609BBAA" w:rsidR="007C6A41" w:rsidRDefault="001F102F" w:rsidP="007C6A41">
      <w:pPr>
        <w:ind w:left="900"/>
      </w:pPr>
      <w:r w:rsidRPr="001F102F">
        <w:rPr>
          <w:rStyle w:val="FootnoteReference"/>
        </w:rPr>
        <w:t xml:space="preserve">† Data was not combined due to the changes in the definition across the three reports, specifically clarification to the </w:t>
      </w:r>
      <w:r w:rsidR="00F21387">
        <w:rPr>
          <w:rStyle w:val="FootnoteReference"/>
        </w:rPr>
        <w:t>H</w:t>
      </w:r>
      <w:r w:rsidR="00F21387" w:rsidRPr="00F21387">
        <w:rPr>
          <w:rStyle w:val="FootnoteReference"/>
        </w:rPr>
        <w:t>L</w:t>
      </w:r>
      <w:r w:rsidRPr="001F102F">
        <w:rPr>
          <w:rStyle w:val="FootnoteReference"/>
        </w:rPr>
        <w:t xml:space="preserve"> 3 uncontrolled fire definition may have resulted in some tailpipe fires in the CAAM</w:t>
      </w:r>
      <w:r w:rsidR="007910B6">
        <w:t xml:space="preserve"> </w:t>
      </w:r>
      <w:r w:rsidRPr="001F102F">
        <w:rPr>
          <w:rStyle w:val="FootnoteReference"/>
        </w:rPr>
        <w:t>3 report being graded differently from CAAM</w:t>
      </w:r>
      <w:r w:rsidR="007910B6">
        <w:t xml:space="preserve"> </w:t>
      </w:r>
      <w:r w:rsidRPr="001F102F">
        <w:rPr>
          <w:rStyle w:val="FootnoteReference"/>
        </w:rPr>
        <w:t>2.</w:t>
      </w:r>
    </w:p>
    <w:p w14:paraId="660E765C" w14:textId="77777777" w:rsidR="0068466F" w:rsidRDefault="0068466F">
      <w:pPr>
        <w:rPr>
          <w:b/>
          <w:iCs/>
          <w:caps/>
        </w:rPr>
      </w:pPr>
      <w:r>
        <w:br w:type="page"/>
      </w:r>
    </w:p>
    <w:p w14:paraId="53DF83E2" w14:textId="77777777" w:rsidR="001B2C31" w:rsidRDefault="001B2C31" w:rsidP="007C6A41">
      <w:pPr>
        <w:pStyle w:val="Heading7"/>
      </w:pPr>
      <w:r>
        <w:lastRenderedPageBreak/>
        <w:t>FAILURE CONDITION: CASE RUPTURE.</w:t>
      </w:r>
    </w:p>
    <w:p w14:paraId="3D259C54" w14:textId="5896C8F5" w:rsidR="00C338DD" w:rsidRDefault="00C56E15" w:rsidP="00DC77D6">
      <w:pPr>
        <w:pStyle w:val="Levels1-3-OneParagraphUnderHeading"/>
      </w:pPr>
      <w:r w:rsidRPr="00C56E15">
        <w:t xml:space="preserve">A case rupture is a </w:t>
      </w:r>
      <w:r w:rsidR="00C338DD">
        <w:t xml:space="preserve">significant </w:t>
      </w:r>
      <w:r w:rsidR="00550038">
        <w:t>safety</w:t>
      </w:r>
      <w:r w:rsidRPr="0095594A">
        <w:t xml:space="preserve"> event that initiates from a sudden rupture of a high-pressure vessel or case with the resultant release of high-pressure gases into the under-cowl cavity</w:t>
      </w:r>
      <w:r>
        <w:t>.</w:t>
      </w:r>
      <w:r w:rsidR="00E442E7">
        <w:t xml:space="preserve"> </w:t>
      </w:r>
      <w:r w:rsidR="001B2C31" w:rsidRPr="0095594A">
        <w:t xml:space="preserve">Case ruptures resulting from </w:t>
      </w:r>
      <w:r w:rsidR="00B93272">
        <w:t xml:space="preserve">the </w:t>
      </w:r>
      <w:r w:rsidR="001B2C31" w:rsidRPr="0095594A">
        <w:t>uncontained release of debris from a rotating component malfunction are excluded.</w:t>
      </w:r>
      <w:r w:rsidR="00E442E7">
        <w:t xml:space="preserve"> </w:t>
      </w:r>
      <w:r w:rsidR="001B2C31" w:rsidRPr="0095594A">
        <w:t>Case ruptures include those events that propagate from fatigue cracks as well as ruptures related to secondary malfunctions (e.g., flame impingement).</w:t>
      </w:r>
    </w:p>
    <w:p w14:paraId="4B6C73B9" w14:textId="4661B489" w:rsidR="00C338DD" w:rsidRDefault="00C338DD" w:rsidP="00C338DD">
      <w:pPr>
        <w:pStyle w:val="TOCTablesHeading"/>
      </w:pPr>
      <w:r>
        <w:t>Table D-</w:t>
      </w:r>
      <w:r w:rsidR="00474107">
        <w:rPr>
          <w:noProof/>
        </w:rPr>
        <w:t>11</w:t>
      </w:r>
      <w:r>
        <w:rPr>
          <w:noProof/>
        </w:rPr>
        <w:t xml:space="preserve"> </w:t>
      </w:r>
      <w:r>
        <w:t>- Case Rupture Hazard Ratios</w:t>
      </w:r>
    </w:p>
    <w:p w14:paraId="065CFBA8" w14:textId="5AE5CE3B" w:rsidR="006944ED" w:rsidRDefault="006944ED" w:rsidP="006944ED">
      <w:pPr>
        <w:pStyle w:val="Heading8"/>
        <w:keepNext/>
        <w:numPr>
          <w:ilvl w:val="0"/>
          <w:numId w:val="0"/>
        </w:numPr>
        <w:jc w:val="center"/>
      </w:pPr>
      <w:r w:rsidRPr="006944ED">
        <w:rPr>
          <w:noProof/>
        </w:rPr>
        <w:drawing>
          <wp:inline distT="0" distB="0" distL="0" distR="0" wp14:anchorId="723BE15E" wp14:editId="750DDE7B">
            <wp:extent cx="3657600" cy="3648479"/>
            <wp:effectExtent l="0" t="0" r="0" b="9525"/>
            <wp:docPr id="2400" name="Picture 2400" descr="This table image depicts case rupture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0" cy="3648479"/>
                    </a:xfrm>
                    <a:prstGeom prst="rect">
                      <a:avLst/>
                    </a:prstGeom>
                    <a:noFill/>
                    <a:ln>
                      <a:noFill/>
                    </a:ln>
                  </pic:spPr>
                </pic:pic>
              </a:graphicData>
            </a:graphic>
          </wp:inline>
        </w:drawing>
      </w:r>
    </w:p>
    <w:p w14:paraId="00AC3D51" w14:textId="17930C5F" w:rsidR="00FC2459" w:rsidRPr="00FC2459" w:rsidRDefault="00FC2459" w:rsidP="00E4228F">
      <w:pPr>
        <w:ind w:left="900"/>
        <w:rPr>
          <w:rStyle w:val="FootnoteReference"/>
        </w:rPr>
      </w:pPr>
      <w:r w:rsidRPr="00FC2459">
        <w:rPr>
          <w:rStyle w:val="FootnoteReference"/>
        </w:rPr>
        <w:t xml:space="preserve">† The data </w:t>
      </w:r>
      <w:r w:rsidR="00D53BD5">
        <w:rPr>
          <w:rStyle w:val="FootnoteReference"/>
        </w:rPr>
        <w:t>i</w:t>
      </w:r>
      <w:r w:rsidR="00D53BD5" w:rsidRPr="0002195B">
        <w:rPr>
          <w:vertAlign w:val="superscript"/>
        </w:rPr>
        <w:t>s</w:t>
      </w:r>
      <w:r w:rsidR="00D53BD5" w:rsidRPr="00FC2459">
        <w:rPr>
          <w:rStyle w:val="FootnoteReference"/>
        </w:rPr>
        <w:t xml:space="preserve"> </w:t>
      </w:r>
      <w:r w:rsidRPr="00FC2459">
        <w:rPr>
          <w:rStyle w:val="FootnoteReference"/>
        </w:rPr>
        <w:t>combined here for convenience.</w:t>
      </w:r>
      <w:r w:rsidR="00E442E7">
        <w:rPr>
          <w:rStyle w:val="FootnoteReference"/>
        </w:rPr>
        <w:t xml:space="preserve"> </w:t>
      </w:r>
      <w:r w:rsidRPr="00FC2459">
        <w:rPr>
          <w:rStyle w:val="FootnoteReference"/>
        </w:rPr>
        <w:t>The user should review the event descriptions and definitions in the CAAM reports for relevance to the particular issue being assessed.</w:t>
      </w:r>
    </w:p>
    <w:p w14:paraId="6AB8F9C1" w14:textId="5B0EC531" w:rsidR="00FC2459" w:rsidRDefault="00FC2459" w:rsidP="00E4228F">
      <w:pPr>
        <w:ind w:left="900"/>
      </w:pPr>
      <w:r w:rsidRPr="00FC2459">
        <w:rPr>
          <w:rStyle w:val="FootnoteReference"/>
        </w:rPr>
        <w:t>‡ Note</w:t>
      </w:r>
      <w:r w:rsidR="00E14D48" w:rsidRPr="00D71745">
        <w:rPr>
          <w:rStyle w:val="FootnoteReference"/>
        </w:rPr>
        <w:t>: T</w:t>
      </w:r>
      <w:r w:rsidRPr="00FC2459">
        <w:rPr>
          <w:rStyle w:val="FootnoteReference"/>
        </w:rPr>
        <w:t>he CAAM 1 report did not include L5 as a classification.</w:t>
      </w:r>
      <w:r w:rsidR="00E442E7">
        <w:rPr>
          <w:rStyle w:val="FootnoteReference"/>
        </w:rPr>
        <w:t xml:space="preserve"> </w:t>
      </w:r>
      <w:r w:rsidRPr="00FC2459">
        <w:rPr>
          <w:rStyle w:val="FootnoteReference"/>
        </w:rPr>
        <w:t>One L4 event was re-classified as L5 in the original release of AC 39-8, and the classification is preserved here.</w:t>
      </w:r>
    </w:p>
    <w:p w14:paraId="55525D32" w14:textId="77777777" w:rsidR="0068466F" w:rsidRDefault="0068466F">
      <w:pPr>
        <w:rPr>
          <w:b/>
          <w:iCs/>
          <w:caps/>
        </w:rPr>
      </w:pPr>
      <w:r>
        <w:br w:type="page"/>
      </w:r>
    </w:p>
    <w:p w14:paraId="53CE24AC" w14:textId="77777777" w:rsidR="00D34BC0" w:rsidRDefault="00D34BC0" w:rsidP="00E4228F">
      <w:pPr>
        <w:pStyle w:val="Heading7"/>
        <w:ind w:left="900"/>
      </w:pPr>
      <w:r>
        <w:lastRenderedPageBreak/>
        <w:t>FAILURE CONDITION: CASE BURNTHROUGH.</w:t>
      </w:r>
    </w:p>
    <w:p w14:paraId="2661CEB3" w14:textId="5B860997" w:rsidR="007610F9" w:rsidRDefault="00F9303E" w:rsidP="001E27FF">
      <w:pPr>
        <w:pStyle w:val="Levels1-3-OneParagraphUnderHeading"/>
        <w:spacing w:after="120"/>
      </w:pPr>
      <w:r w:rsidRPr="00F9303E">
        <w:t xml:space="preserve">A case </w:t>
      </w:r>
      <w:proofErr w:type="spellStart"/>
      <w:r w:rsidRPr="00F9303E">
        <w:t>burnthrough</w:t>
      </w:r>
      <w:proofErr w:type="spellEnd"/>
      <w:r w:rsidRPr="00F9303E">
        <w:t xml:space="preserve"> failure condition is defined as a local</w:t>
      </w:r>
      <w:r w:rsidRPr="00FF263C">
        <w:t xml:space="preserve"> case penetration that initiates from local overtemperature of the case external wall due to an internal engine malfunction (e.g., fuel nozzle leakage, internal bearing compartment fires, and titanium fires).</w:t>
      </w:r>
      <w:r w:rsidR="00E442E7">
        <w:t xml:space="preserve"> </w:t>
      </w:r>
      <w:proofErr w:type="spellStart"/>
      <w:r w:rsidR="00D34BC0" w:rsidRPr="00FF263C">
        <w:t>Burnthroughs</w:t>
      </w:r>
      <w:proofErr w:type="spellEnd"/>
      <w:r w:rsidR="00D34BC0" w:rsidRPr="00FF263C">
        <w:t xml:space="preserve"> are distinguished from ruptures by their lack of an explosive release of high-pressure gas.</w:t>
      </w:r>
      <w:r w:rsidR="00E442E7">
        <w:t xml:space="preserve"> </w:t>
      </w:r>
      <w:r w:rsidR="00D34BC0" w:rsidRPr="00FF263C">
        <w:t xml:space="preserve">A common cause of case </w:t>
      </w:r>
      <w:proofErr w:type="spellStart"/>
      <w:r w:rsidR="00D34BC0" w:rsidRPr="00FF263C">
        <w:t>burnthrough</w:t>
      </w:r>
      <w:proofErr w:type="spellEnd"/>
      <w:r w:rsidR="00D34BC0" w:rsidRPr="00FF263C">
        <w:t xml:space="preserve"> is localized penetration due to fuel nozzle malfunction.</w:t>
      </w:r>
      <w:r w:rsidR="00E442E7">
        <w:t xml:space="preserve"> </w:t>
      </w:r>
      <w:r w:rsidR="00D34BC0" w:rsidRPr="00FF263C">
        <w:t>Events involving accessory component cases also contribute to this category</w:t>
      </w:r>
      <w:r w:rsidR="00E14D48">
        <w:t>.</w:t>
      </w:r>
      <w:r w:rsidR="00E442E7">
        <w:t xml:space="preserve"> </w:t>
      </w:r>
      <w:r w:rsidR="00E14D48">
        <w:t>F</w:t>
      </w:r>
      <w:r w:rsidR="00D34BC0" w:rsidRPr="00FF263C">
        <w:t xml:space="preserve">or example, sump fires that propagate internally and result in </w:t>
      </w:r>
      <w:proofErr w:type="spellStart"/>
      <w:r w:rsidR="00D34BC0" w:rsidRPr="00FF263C">
        <w:t>burnthrough</w:t>
      </w:r>
      <w:proofErr w:type="spellEnd"/>
      <w:r w:rsidR="00D34BC0" w:rsidRPr="00FF263C">
        <w:t xml:space="preserve"> of piping or that initiate gearbox fires</w:t>
      </w:r>
      <w:r w:rsidR="004720E1">
        <w:t xml:space="preserve"> fall into this category</w:t>
      </w:r>
      <w:r w:rsidR="00D34BC0" w:rsidRPr="00FF263C">
        <w:t>.</w:t>
      </w:r>
      <w:r w:rsidR="00E442E7">
        <w:t xml:space="preserve"> </w:t>
      </w:r>
      <w:r w:rsidR="00D34BC0" w:rsidRPr="00FF263C">
        <w:t>The key aspect, whether in the primary gas path or</w:t>
      </w:r>
      <w:r w:rsidR="00D34BC0">
        <w:t xml:space="preserve"> </w:t>
      </w:r>
      <w:r w:rsidR="00D34BC0" w:rsidRPr="00FF263C">
        <w:t>accessories, is that fire initiates from an internal malfunction and proceeds to burn</w:t>
      </w:r>
      <w:r w:rsidR="009652E1">
        <w:t xml:space="preserve"> </w:t>
      </w:r>
      <w:r w:rsidR="00D34BC0" w:rsidRPr="00FF263C">
        <w:t>through a case, tube</w:t>
      </w:r>
      <w:r w:rsidR="00E14D48">
        <w:t>,</w:t>
      </w:r>
      <w:r w:rsidR="00D34BC0" w:rsidRPr="00FF263C">
        <w:t xml:space="preserve"> or gearbox to reach external regions.</w:t>
      </w:r>
    </w:p>
    <w:p w14:paraId="1B83BB5E" w14:textId="7CD749A4" w:rsidR="00C338DD" w:rsidRPr="009E2F72" w:rsidRDefault="00C338DD" w:rsidP="00C338DD">
      <w:pPr>
        <w:pStyle w:val="TOCTablesHeading"/>
      </w:pPr>
      <w:r>
        <w:t>Table D-</w:t>
      </w:r>
      <w:r w:rsidR="00474107">
        <w:rPr>
          <w:noProof/>
        </w:rPr>
        <w:t>12</w:t>
      </w:r>
      <w:r w:rsidRPr="00936C83">
        <w:t xml:space="preserve"> - Case </w:t>
      </w:r>
      <w:proofErr w:type="spellStart"/>
      <w:r w:rsidRPr="00936C83">
        <w:t>Burnthrough</w:t>
      </w:r>
      <w:proofErr w:type="spellEnd"/>
      <w:r w:rsidRPr="00936C83">
        <w:t xml:space="preserve"> Hazard Ratios</w:t>
      </w:r>
    </w:p>
    <w:p w14:paraId="1143784E" w14:textId="0C4FAA81" w:rsidR="006944ED" w:rsidRDefault="00D34BC0" w:rsidP="009E2F72">
      <w:pPr>
        <w:pStyle w:val="Heading8"/>
        <w:keepNext/>
        <w:numPr>
          <w:ilvl w:val="0"/>
          <w:numId w:val="0"/>
        </w:numPr>
        <w:jc w:val="center"/>
      </w:pPr>
      <w:r>
        <w:rPr>
          <w:noProof/>
        </w:rPr>
        <w:drawing>
          <wp:inline distT="0" distB="0" distL="0" distR="0" wp14:anchorId="3A11A696" wp14:editId="60DEE295">
            <wp:extent cx="3657600" cy="3657600"/>
            <wp:effectExtent l="0" t="0" r="0" b="0"/>
            <wp:docPr id="9" name="Picture 9" descr="This table image depicts case burnthrough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5EAE0D58" w14:textId="2B0F15F2" w:rsidR="0068466F" w:rsidRDefault="004F57E7" w:rsidP="00A20DBE">
      <w:pPr>
        <w:ind w:left="900"/>
        <w:rPr>
          <w:b/>
          <w:iCs/>
          <w:caps/>
        </w:rPr>
      </w:pPr>
      <w:r w:rsidRPr="004F57E7">
        <w:rPr>
          <w:rStyle w:val="FootnoteReference"/>
        </w:rPr>
        <w:t xml:space="preserve">† The data </w:t>
      </w:r>
      <w:r w:rsidR="00D53BD5" w:rsidRPr="00D53BD5">
        <w:rPr>
          <w:rStyle w:val="FootnoteReference"/>
        </w:rPr>
        <w:t>i</w:t>
      </w:r>
      <w:r w:rsidR="00D53BD5" w:rsidRPr="0002195B">
        <w:rPr>
          <w:vertAlign w:val="superscript"/>
        </w:rPr>
        <w:t>s</w:t>
      </w:r>
      <w:r w:rsidR="00D53BD5" w:rsidRPr="004F57E7">
        <w:rPr>
          <w:rStyle w:val="FootnoteReference"/>
        </w:rPr>
        <w:t xml:space="preserve"> </w:t>
      </w:r>
      <w:r w:rsidRPr="004F57E7">
        <w:rPr>
          <w:rStyle w:val="FootnoteReference"/>
        </w:rPr>
        <w:t>combined here for convenience.</w:t>
      </w:r>
      <w:r w:rsidR="00E442E7">
        <w:rPr>
          <w:rStyle w:val="FootnoteReference"/>
        </w:rPr>
        <w:t xml:space="preserve"> </w:t>
      </w:r>
      <w:r w:rsidRPr="004F57E7">
        <w:rPr>
          <w:rStyle w:val="FootnoteReference"/>
        </w:rPr>
        <w:t>The user should review the event descriptions and definitions in the CAAM reports for relevance to the particular issue being assessed.</w:t>
      </w:r>
    </w:p>
    <w:p w14:paraId="5642D8FC" w14:textId="77777777" w:rsidR="00506415" w:rsidRDefault="00506415" w:rsidP="00506415">
      <w:pPr>
        <w:pStyle w:val="Heading7"/>
      </w:pPr>
      <w:r>
        <w:t>FAILURE CONDITION: MULTIPLE-ENGINE EVENTS.</w:t>
      </w:r>
    </w:p>
    <w:p w14:paraId="5D8B2A97" w14:textId="04E39695" w:rsidR="00C56E15" w:rsidRPr="00784A3A" w:rsidRDefault="00C56E15" w:rsidP="00E4228F">
      <w:pPr>
        <w:pStyle w:val="Levels1-3-OneParagraphUnderHeading"/>
      </w:pPr>
      <w:r w:rsidRPr="00784A3A">
        <w:t>A multiple</w:t>
      </w:r>
      <w:r w:rsidR="00402C9F">
        <w:t>-</w:t>
      </w:r>
      <w:r w:rsidRPr="00784A3A">
        <w:t>engine event initiation from simultaneous power loss from multiple propulsion systems due to the following:</w:t>
      </w:r>
    </w:p>
    <w:p w14:paraId="3EEDC40A" w14:textId="77777777" w:rsidR="00C56E15" w:rsidRPr="002A3591" w:rsidRDefault="00C56E15" w:rsidP="003D4E32">
      <w:pPr>
        <w:pStyle w:val="Levels1-3-Bullet"/>
      </w:pPr>
      <w:r>
        <w:t>B</w:t>
      </w:r>
      <w:r w:rsidR="00784A3A">
        <w:t xml:space="preserve">ird </w:t>
      </w:r>
      <w:proofErr w:type="gramStart"/>
      <w:r w:rsidR="00784A3A">
        <w:t>ingestion;</w:t>
      </w:r>
      <w:proofErr w:type="gramEnd"/>
    </w:p>
    <w:p w14:paraId="42867DAA" w14:textId="77777777" w:rsidR="00C56E15" w:rsidRPr="002A3591" w:rsidRDefault="00C56E15" w:rsidP="003D4E32">
      <w:pPr>
        <w:pStyle w:val="Levels1-3-Bullet"/>
      </w:pPr>
      <w:r>
        <w:lastRenderedPageBreak/>
        <w:t>E</w:t>
      </w:r>
      <w:r w:rsidRPr="002A3591">
        <w:t xml:space="preserve">nvironmental </w:t>
      </w:r>
      <w:proofErr w:type="gramStart"/>
      <w:r w:rsidRPr="002A3591">
        <w:t>cause</w:t>
      </w:r>
      <w:proofErr w:type="gramEnd"/>
      <w:r w:rsidR="00784A3A">
        <w:t>, such as</w:t>
      </w:r>
      <w:r w:rsidRPr="002A3591">
        <w:t xml:space="preserve"> ice, rain, hail, or volcanic ash </w:t>
      </w:r>
      <w:proofErr w:type="gramStart"/>
      <w:r w:rsidRPr="002A3591">
        <w:t>ingestion</w:t>
      </w:r>
      <w:r w:rsidR="00784A3A">
        <w:t>;</w:t>
      </w:r>
      <w:proofErr w:type="gramEnd"/>
    </w:p>
    <w:p w14:paraId="3C8FA7EB" w14:textId="0457E640" w:rsidR="00C56E15" w:rsidRPr="002A3591" w:rsidRDefault="00C56E15" w:rsidP="003D4E32">
      <w:pPr>
        <w:pStyle w:val="Levels1-3-Bullet"/>
      </w:pPr>
      <w:r w:rsidRPr="00C56E15">
        <w:t xml:space="preserve">Fuel </w:t>
      </w:r>
      <w:r w:rsidR="00784A3A">
        <w:t>contamination.</w:t>
      </w:r>
      <w:r w:rsidR="00E442E7">
        <w:t xml:space="preserve"> </w:t>
      </w:r>
      <w:r w:rsidR="00784A3A">
        <w:t>S</w:t>
      </w:r>
      <w:r w:rsidRPr="002A3591">
        <w:t>equential powe</w:t>
      </w:r>
      <w:r w:rsidR="00784A3A">
        <w:t xml:space="preserve">r loss and recovery </w:t>
      </w:r>
      <w:proofErr w:type="gramStart"/>
      <w:r w:rsidR="00784A3A">
        <w:t>is</w:t>
      </w:r>
      <w:proofErr w:type="gramEnd"/>
      <w:r w:rsidR="00784A3A">
        <w:t xml:space="preserve"> </w:t>
      </w:r>
      <w:proofErr w:type="gramStart"/>
      <w:r w:rsidR="00784A3A">
        <w:t>excluded;</w:t>
      </w:r>
      <w:proofErr w:type="gramEnd"/>
    </w:p>
    <w:p w14:paraId="6E29AEF2" w14:textId="77777777" w:rsidR="00C56E15" w:rsidRPr="002A3591" w:rsidRDefault="00C56E15" w:rsidP="003D4E32">
      <w:pPr>
        <w:pStyle w:val="Levels1-3-Bullet"/>
      </w:pPr>
      <w:r>
        <w:t>C</w:t>
      </w:r>
      <w:r w:rsidRPr="002A3591">
        <w:t xml:space="preserve">omplete exhaustion of the airplane fuel </w:t>
      </w:r>
      <w:proofErr w:type="gramStart"/>
      <w:r w:rsidRPr="002A3591">
        <w:t>reserves</w:t>
      </w:r>
      <w:r w:rsidR="00784A3A">
        <w:t>;</w:t>
      </w:r>
      <w:proofErr w:type="gramEnd"/>
    </w:p>
    <w:p w14:paraId="50296C2E" w14:textId="3FDB7E01" w:rsidR="00C56E15" w:rsidRPr="002A3591" w:rsidRDefault="00C56E15" w:rsidP="003D4E32">
      <w:pPr>
        <w:pStyle w:val="Levels1-3-Bullet"/>
      </w:pPr>
      <w:r>
        <w:t>I</w:t>
      </w:r>
      <w:r w:rsidRPr="002A3591">
        <w:t xml:space="preserve">mproper management of the airplane fuel system (e.g., tank </w:t>
      </w:r>
      <w:proofErr w:type="spellStart"/>
      <w:r w:rsidRPr="002A3591">
        <w:t>crossfeed</w:t>
      </w:r>
      <w:proofErr w:type="spellEnd"/>
      <w:r w:rsidRPr="002A3591">
        <w:t>).</w:t>
      </w:r>
      <w:r w:rsidR="00E442E7">
        <w:t xml:space="preserve"> </w:t>
      </w:r>
      <w:r w:rsidRPr="002A3591">
        <w:t>Sequential powe</w:t>
      </w:r>
      <w:r w:rsidR="00784A3A">
        <w:t xml:space="preserve">r loss and recovery </w:t>
      </w:r>
      <w:proofErr w:type="gramStart"/>
      <w:r w:rsidR="00784A3A">
        <w:t>is</w:t>
      </w:r>
      <w:proofErr w:type="gramEnd"/>
      <w:r w:rsidR="00784A3A">
        <w:t xml:space="preserve"> </w:t>
      </w:r>
      <w:proofErr w:type="gramStart"/>
      <w:r w:rsidR="00784A3A">
        <w:t>excluded;</w:t>
      </w:r>
      <w:proofErr w:type="gramEnd"/>
    </w:p>
    <w:p w14:paraId="6027FAB3" w14:textId="7D666612" w:rsidR="00C56E15" w:rsidRPr="002A3591" w:rsidRDefault="00784A3A" w:rsidP="003D4E32">
      <w:pPr>
        <w:pStyle w:val="Levels1-3-Bullet"/>
      </w:pPr>
      <w:r>
        <w:t>I</w:t>
      </w:r>
      <w:r w:rsidR="00C56E15" w:rsidRPr="002A3591">
        <w:t>mproper maintenance (e.g., failure to restore oil sys</w:t>
      </w:r>
      <w:r>
        <w:t xml:space="preserve">tem integrity after inspection); </w:t>
      </w:r>
      <w:r w:rsidR="00607266">
        <w:t>or</w:t>
      </w:r>
    </w:p>
    <w:p w14:paraId="78C984A2" w14:textId="72028E80" w:rsidR="00C56E15" w:rsidRDefault="00784A3A" w:rsidP="00C56E15">
      <w:pPr>
        <w:pStyle w:val="Levels1-3-Bullet"/>
      </w:pPr>
      <w:r>
        <w:t>R</w:t>
      </w:r>
      <w:r w:rsidR="00C56E15" w:rsidRPr="004016C3">
        <w:t>easons other than those characterized elsewhere or where the initiating event(s) are unknown.</w:t>
      </w:r>
      <w:r w:rsidR="00E442E7">
        <w:t xml:space="preserve"> </w:t>
      </w:r>
      <w:r w:rsidR="00156AAA" w:rsidRPr="004016C3">
        <w:t>Th</w:t>
      </w:r>
      <w:r w:rsidR="00156AAA">
        <w:t>ese reasons</w:t>
      </w:r>
      <w:r w:rsidR="00156AAA" w:rsidRPr="004016C3">
        <w:t xml:space="preserve"> </w:t>
      </w:r>
      <w:r w:rsidR="00C56E15" w:rsidRPr="004016C3">
        <w:t>include unrelated events of engine power loss within the same flight.</w:t>
      </w:r>
    </w:p>
    <w:p w14:paraId="5BEC8C1A" w14:textId="77777777" w:rsidR="00C338DD" w:rsidRDefault="00C338DD" w:rsidP="00E4228F">
      <w:pPr>
        <w:jc w:val="center"/>
      </w:pPr>
    </w:p>
    <w:p w14:paraId="17DD7391" w14:textId="157E2233" w:rsidR="00C338DD" w:rsidRDefault="00C338DD" w:rsidP="000855F2">
      <w:pPr>
        <w:pStyle w:val="Caption"/>
      </w:pPr>
      <w:r>
        <w:t>Table D-</w:t>
      </w:r>
      <w:r w:rsidR="00474107">
        <w:rPr>
          <w:noProof/>
        </w:rPr>
        <w:t>13</w:t>
      </w:r>
      <w:r w:rsidRPr="00B1562E">
        <w:rPr>
          <w:noProof/>
        </w:rPr>
        <w:t xml:space="preserve"> - Multiple-Engine Event (Fuel Related) Hazard Ratios</w:t>
      </w:r>
    </w:p>
    <w:p w14:paraId="65F2325C" w14:textId="17240550" w:rsidR="00B25D32" w:rsidRDefault="000D6683" w:rsidP="00E4228F">
      <w:pPr>
        <w:jc w:val="center"/>
      </w:pPr>
      <w:r w:rsidRPr="000D6683">
        <w:rPr>
          <w:noProof/>
        </w:rPr>
        <w:drawing>
          <wp:inline distT="0" distB="0" distL="0" distR="0" wp14:anchorId="2EC4E912" wp14:editId="47B014D0">
            <wp:extent cx="5486400" cy="3065027"/>
            <wp:effectExtent l="0" t="0" r="0" b="2540"/>
            <wp:docPr id="2401" name="Picture 2401" descr="This is the first of two tables that depict multiple engine event (fuel related)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86400" cy="3065027"/>
                    </a:xfrm>
                    <a:prstGeom prst="rect">
                      <a:avLst/>
                    </a:prstGeom>
                    <a:noFill/>
                    <a:ln>
                      <a:noFill/>
                    </a:ln>
                  </pic:spPr>
                </pic:pic>
              </a:graphicData>
            </a:graphic>
          </wp:inline>
        </w:drawing>
      </w:r>
    </w:p>
    <w:p w14:paraId="1782E8D6" w14:textId="77777777" w:rsidR="00D66FC4" w:rsidRDefault="000D6683" w:rsidP="0062629F">
      <w:pPr>
        <w:keepNext/>
        <w:jc w:val="center"/>
        <w:rPr>
          <w:noProof/>
        </w:rPr>
      </w:pPr>
      <w:r w:rsidRPr="000D6683">
        <w:rPr>
          <w:noProof/>
        </w:rPr>
        <w:lastRenderedPageBreak/>
        <w:drawing>
          <wp:inline distT="0" distB="0" distL="0" distR="0" wp14:anchorId="2AD08E73" wp14:editId="17C5C900">
            <wp:extent cx="3070896" cy="3063240"/>
            <wp:effectExtent l="0" t="0" r="0" b="3810"/>
            <wp:docPr id="2402" name="Picture 2402" descr="This is the second of two tables that depict multiple engine event (fuel related)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70896" cy="3063240"/>
                    </a:xfrm>
                    <a:prstGeom prst="rect">
                      <a:avLst/>
                    </a:prstGeom>
                    <a:noFill/>
                    <a:ln>
                      <a:noFill/>
                    </a:ln>
                  </pic:spPr>
                </pic:pic>
              </a:graphicData>
            </a:graphic>
          </wp:inline>
        </w:drawing>
      </w:r>
    </w:p>
    <w:p w14:paraId="5647653E" w14:textId="41AA8C13" w:rsidR="001701BF" w:rsidRPr="00EF59BD" w:rsidRDefault="001701BF" w:rsidP="00E4228F">
      <w:pPr>
        <w:ind w:left="900"/>
        <w:rPr>
          <w:rStyle w:val="FootnoteReference"/>
        </w:rPr>
      </w:pPr>
      <w:r w:rsidRPr="00EF59BD">
        <w:rPr>
          <w:rStyle w:val="FootnoteReference"/>
        </w:rPr>
        <w:t xml:space="preserve">† The data </w:t>
      </w:r>
      <w:r w:rsidR="00D53BD5">
        <w:rPr>
          <w:rStyle w:val="FootnoteReference"/>
        </w:rPr>
        <w:t>i</w:t>
      </w:r>
      <w:r w:rsidR="00D53BD5" w:rsidRPr="0002195B">
        <w:rPr>
          <w:vertAlign w:val="superscript"/>
        </w:rPr>
        <w:t>s</w:t>
      </w:r>
      <w:r w:rsidR="00D53BD5" w:rsidRPr="00EF59BD">
        <w:rPr>
          <w:rStyle w:val="FootnoteReference"/>
        </w:rPr>
        <w:t xml:space="preserve"> </w:t>
      </w:r>
      <w:r w:rsidRPr="00EF59BD">
        <w:rPr>
          <w:rStyle w:val="FootnoteReference"/>
        </w:rPr>
        <w:t>combined here for convenience.</w:t>
      </w:r>
      <w:r w:rsidR="00E442E7">
        <w:rPr>
          <w:rStyle w:val="FootnoteReference"/>
        </w:rPr>
        <w:t xml:space="preserve"> </w:t>
      </w:r>
      <w:r w:rsidRPr="00EF59BD">
        <w:rPr>
          <w:rStyle w:val="FootnoteReference"/>
        </w:rPr>
        <w:t>The user should review the event descriptions and definitions in the CAAM reports for relevance to the particular issue being assessed.</w:t>
      </w:r>
    </w:p>
    <w:p w14:paraId="0C03E088" w14:textId="77777777" w:rsidR="00F9303E" w:rsidRDefault="001701BF" w:rsidP="00E4228F">
      <w:pPr>
        <w:ind w:left="900"/>
      </w:pPr>
      <w:r w:rsidRPr="00EF59BD">
        <w:rPr>
          <w:rStyle w:val="FootnoteReference"/>
        </w:rPr>
        <w:t>‡ Hazard ratios not calculated due to under-reporting of base events.</w:t>
      </w:r>
    </w:p>
    <w:p w14:paraId="2536830B" w14:textId="77777777" w:rsidR="00C338DD" w:rsidRDefault="00C338DD" w:rsidP="00E4228F">
      <w:pPr>
        <w:jc w:val="center"/>
      </w:pPr>
    </w:p>
    <w:p w14:paraId="30493FB7" w14:textId="12952E00" w:rsidR="00C338DD" w:rsidRPr="006637F7" w:rsidRDefault="00C338DD" w:rsidP="000855F2">
      <w:pPr>
        <w:pStyle w:val="Caption"/>
      </w:pPr>
      <w:r w:rsidRPr="006637F7">
        <w:t xml:space="preserve">Table </w:t>
      </w:r>
      <w:r>
        <w:t>D-</w:t>
      </w:r>
      <w:r w:rsidR="00474107">
        <w:rPr>
          <w:noProof/>
        </w:rPr>
        <w:t>14</w:t>
      </w:r>
      <w:r w:rsidRPr="006637F7">
        <w:t xml:space="preserve"> - Multiple-Engine Event (Non-Fuel) Hazard Ratios</w:t>
      </w:r>
    </w:p>
    <w:p w14:paraId="49BB5D9A" w14:textId="6DF32DF2" w:rsidR="00F9303E" w:rsidRDefault="000D6683" w:rsidP="00E4228F">
      <w:pPr>
        <w:jc w:val="center"/>
      </w:pPr>
      <w:r w:rsidRPr="000D6683">
        <w:rPr>
          <w:noProof/>
        </w:rPr>
        <w:drawing>
          <wp:inline distT="0" distB="0" distL="0" distR="0" wp14:anchorId="74C59E11" wp14:editId="2A930357">
            <wp:extent cx="5486400" cy="3065027"/>
            <wp:effectExtent l="0" t="0" r="0" b="2540"/>
            <wp:docPr id="2404" name="Picture 2404" descr="This is the first of two images of tables that depict multiple engine event (non-fuel)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86400" cy="3065027"/>
                    </a:xfrm>
                    <a:prstGeom prst="rect">
                      <a:avLst/>
                    </a:prstGeom>
                    <a:noFill/>
                    <a:ln>
                      <a:noFill/>
                    </a:ln>
                  </pic:spPr>
                </pic:pic>
              </a:graphicData>
            </a:graphic>
          </wp:inline>
        </w:drawing>
      </w:r>
    </w:p>
    <w:p w14:paraId="3402BCA1" w14:textId="77777777" w:rsidR="00D66FC4" w:rsidRDefault="000D6683" w:rsidP="0062629F">
      <w:pPr>
        <w:keepNext/>
        <w:jc w:val="center"/>
      </w:pPr>
      <w:r w:rsidRPr="000D6683">
        <w:rPr>
          <w:noProof/>
        </w:rPr>
        <w:lastRenderedPageBreak/>
        <w:drawing>
          <wp:inline distT="0" distB="0" distL="0" distR="0" wp14:anchorId="354705C3" wp14:editId="160AACD9">
            <wp:extent cx="3070896" cy="3063240"/>
            <wp:effectExtent l="0" t="0" r="0" b="3810"/>
            <wp:docPr id="2405" name="Picture 2405" descr="This is the second of two images of tables that depict multiple engine event (non-fuel)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70896" cy="3063240"/>
                    </a:xfrm>
                    <a:prstGeom prst="rect">
                      <a:avLst/>
                    </a:prstGeom>
                    <a:noFill/>
                    <a:ln>
                      <a:noFill/>
                    </a:ln>
                  </pic:spPr>
                </pic:pic>
              </a:graphicData>
            </a:graphic>
          </wp:inline>
        </w:drawing>
      </w:r>
    </w:p>
    <w:p w14:paraId="1353B92A" w14:textId="77777777" w:rsidR="00F9303E" w:rsidRPr="00EF59BD" w:rsidRDefault="00F9303E" w:rsidP="00E4228F">
      <w:pPr>
        <w:ind w:left="900"/>
        <w:rPr>
          <w:rStyle w:val="FootnoteReference"/>
        </w:rPr>
      </w:pPr>
      <w:r w:rsidRPr="00EF59BD">
        <w:rPr>
          <w:rStyle w:val="FootnoteReference"/>
        </w:rPr>
        <w:t>The event count for all events is likely under-reported.</w:t>
      </w:r>
    </w:p>
    <w:p w14:paraId="0DF34558" w14:textId="6BEF114D" w:rsidR="00F9303E" w:rsidRPr="00EF59BD" w:rsidRDefault="00F9303E" w:rsidP="00E4228F">
      <w:pPr>
        <w:ind w:left="900"/>
        <w:rPr>
          <w:rStyle w:val="FootnoteReference"/>
        </w:rPr>
      </w:pPr>
      <w:r w:rsidRPr="00EF59BD">
        <w:rPr>
          <w:rStyle w:val="FootnoteReference"/>
        </w:rPr>
        <w:t xml:space="preserve">† The data </w:t>
      </w:r>
      <w:r w:rsidR="00D53BD5" w:rsidRPr="00D53BD5">
        <w:rPr>
          <w:rStyle w:val="FootnoteReference"/>
        </w:rPr>
        <w:t>i</w:t>
      </w:r>
      <w:r w:rsidR="00D53BD5" w:rsidRPr="0002195B">
        <w:rPr>
          <w:vertAlign w:val="superscript"/>
        </w:rPr>
        <w:t>s</w:t>
      </w:r>
      <w:r w:rsidR="00D53BD5" w:rsidRPr="00EF59BD">
        <w:rPr>
          <w:rStyle w:val="FootnoteReference"/>
        </w:rPr>
        <w:t xml:space="preserve"> </w:t>
      </w:r>
      <w:r w:rsidRPr="00EF59BD">
        <w:rPr>
          <w:rStyle w:val="FootnoteReference"/>
        </w:rPr>
        <w:t xml:space="preserve">combined here for </w:t>
      </w:r>
      <w:r w:rsidR="00E4228F" w:rsidRPr="00EF59BD">
        <w:rPr>
          <w:rStyle w:val="FootnoteReference"/>
        </w:rPr>
        <w:t xml:space="preserve">your </w:t>
      </w:r>
      <w:r w:rsidRPr="00EF59BD">
        <w:rPr>
          <w:rStyle w:val="FootnoteReference"/>
        </w:rPr>
        <w:t>convenience.</w:t>
      </w:r>
      <w:r w:rsidR="00E442E7">
        <w:rPr>
          <w:rStyle w:val="FootnoteReference"/>
        </w:rPr>
        <w:t xml:space="preserve"> </w:t>
      </w:r>
      <w:r w:rsidRPr="00EF59BD">
        <w:rPr>
          <w:rStyle w:val="FootnoteReference"/>
        </w:rPr>
        <w:t>The user should review the event descriptions and definitions in the CAAM reports for relevance to the p</w:t>
      </w:r>
      <w:r w:rsidR="00E4228F" w:rsidRPr="00EF59BD">
        <w:rPr>
          <w:rStyle w:val="FootnoteReference"/>
        </w:rPr>
        <w:t>articular issue being assessed.</w:t>
      </w:r>
    </w:p>
    <w:p w14:paraId="48B80694" w14:textId="7A68F664" w:rsidR="00F9303E" w:rsidRPr="00EF59BD" w:rsidRDefault="00F9303E" w:rsidP="00E4228F">
      <w:pPr>
        <w:ind w:left="900"/>
        <w:rPr>
          <w:rStyle w:val="FootnoteReference"/>
        </w:rPr>
      </w:pPr>
      <w:r w:rsidRPr="00EF59BD">
        <w:rPr>
          <w:rStyle w:val="FootnoteReference"/>
        </w:rPr>
        <w:t>‡ The CAAM 3 report separates the bird</w:t>
      </w:r>
      <w:r w:rsidR="00156AAA">
        <w:t xml:space="preserve"> </w:t>
      </w:r>
      <w:r w:rsidRPr="00EF59BD">
        <w:rPr>
          <w:rStyle w:val="FootnoteReference"/>
        </w:rPr>
        <w:t>related events from the non-bird related events.</w:t>
      </w:r>
      <w:r w:rsidR="00E442E7">
        <w:rPr>
          <w:rStyle w:val="FootnoteReference"/>
        </w:rPr>
        <w:t xml:space="preserve"> </w:t>
      </w:r>
      <w:r w:rsidRPr="00EF59BD">
        <w:rPr>
          <w:rStyle w:val="FootnoteReference"/>
        </w:rPr>
        <w:t>The two were combined for this AC.</w:t>
      </w:r>
    </w:p>
    <w:p w14:paraId="56E12BCA" w14:textId="14E7B296" w:rsidR="00E4228F" w:rsidRDefault="00F9303E" w:rsidP="00E4228F">
      <w:pPr>
        <w:ind w:left="900"/>
      </w:pPr>
      <w:r w:rsidRPr="00EF59BD">
        <w:rPr>
          <w:rStyle w:val="FootnoteReference"/>
          <w:rFonts w:ascii="Cambria Math" w:hAnsi="Cambria Math" w:cs="Cambria Math"/>
        </w:rPr>
        <w:t>⁰</w:t>
      </w:r>
      <w:r w:rsidRPr="00EF59BD">
        <w:rPr>
          <w:rStyle w:val="FootnoteReference"/>
        </w:rPr>
        <w:t xml:space="preserve"> The CAAM 1 report multi-engine data </w:t>
      </w:r>
      <w:r w:rsidR="00D53BD5">
        <w:rPr>
          <w:rStyle w:val="FootnoteReference"/>
        </w:rPr>
        <w:t>w</w:t>
      </w:r>
      <w:r w:rsidR="00D53BD5" w:rsidRPr="0002195B">
        <w:rPr>
          <w:vertAlign w:val="superscript"/>
        </w:rPr>
        <w:t>as</w:t>
      </w:r>
      <w:r w:rsidR="00D53BD5" w:rsidRPr="00EF59BD">
        <w:rPr>
          <w:rStyle w:val="FootnoteReference"/>
        </w:rPr>
        <w:t xml:space="preserve"> </w:t>
      </w:r>
      <w:r w:rsidRPr="00EF59BD">
        <w:rPr>
          <w:rStyle w:val="FootnoteReference"/>
        </w:rPr>
        <w:t>not collected using the same categories as the CAAM 2 and CAAM 3 reports.</w:t>
      </w:r>
      <w:r w:rsidR="00E4228F">
        <w:br w:type="page"/>
      </w:r>
    </w:p>
    <w:p w14:paraId="1759BDED" w14:textId="77777777" w:rsidR="00F9303E" w:rsidRPr="002915B1" w:rsidRDefault="00F9303E" w:rsidP="00F9303E">
      <w:pPr>
        <w:pStyle w:val="Heading7"/>
      </w:pPr>
      <w:r>
        <w:lastRenderedPageBreak/>
        <w:t>FAILURE CONDITION: ENGINE/PYLON SEPARATIONS.</w:t>
      </w:r>
    </w:p>
    <w:p w14:paraId="68D7E2E5" w14:textId="430518D3" w:rsidR="00E4228F" w:rsidRDefault="00E4228F" w:rsidP="00E4228F">
      <w:pPr>
        <w:pStyle w:val="Levels1-3-OneParagraphUnderHeading"/>
      </w:pPr>
      <w:r>
        <w:t>An engine/pylon separation is defined as a s</w:t>
      </w:r>
      <w:r w:rsidRPr="00927437">
        <w:t>eparation of the engine, with or without the strut/pylon.</w:t>
      </w:r>
      <w:r w:rsidR="00E442E7">
        <w:t xml:space="preserve"> </w:t>
      </w:r>
      <w:r w:rsidRPr="00927437">
        <w:t>Events resulting from ground contact are excluded.</w:t>
      </w:r>
    </w:p>
    <w:p w14:paraId="3D285511" w14:textId="77777777" w:rsidR="0068466F" w:rsidRDefault="0068466F" w:rsidP="00E4228F">
      <w:pPr>
        <w:pStyle w:val="Levels1-3-OneParagraphUnderHeading"/>
      </w:pPr>
    </w:p>
    <w:p w14:paraId="7A234B4D" w14:textId="77777777" w:rsidR="00817F9A" w:rsidRDefault="00817F9A" w:rsidP="003D0CC0">
      <w:pPr>
        <w:pStyle w:val="Levels1-3-OneParagraphUnderHeading"/>
        <w:keepNext/>
        <w:jc w:val="center"/>
      </w:pPr>
    </w:p>
    <w:p w14:paraId="51246219" w14:textId="01F8F8BF" w:rsidR="00817F9A" w:rsidRDefault="00817F9A" w:rsidP="000855F2">
      <w:pPr>
        <w:pStyle w:val="Caption"/>
      </w:pPr>
      <w:r>
        <w:t>Table D-</w:t>
      </w:r>
      <w:r w:rsidR="00474107">
        <w:rPr>
          <w:noProof/>
        </w:rPr>
        <w:t>15</w:t>
      </w:r>
      <w:r w:rsidRPr="005E048A">
        <w:t xml:space="preserve"> - Engine/Pylon Separations</w:t>
      </w:r>
    </w:p>
    <w:p w14:paraId="4F5439E7" w14:textId="34A0066D" w:rsidR="003D0CC0" w:rsidRDefault="003D0CC0" w:rsidP="003D0CC0">
      <w:pPr>
        <w:pStyle w:val="Levels1-3-OneParagraphUnderHeading"/>
        <w:keepNext/>
        <w:jc w:val="center"/>
      </w:pPr>
      <w:r w:rsidRPr="003D0CC0">
        <w:rPr>
          <w:noProof/>
        </w:rPr>
        <w:drawing>
          <wp:inline distT="0" distB="0" distL="0" distR="0" wp14:anchorId="357E482B" wp14:editId="0B995ECE">
            <wp:extent cx="3657600" cy="3648479"/>
            <wp:effectExtent l="0" t="0" r="0" b="9525"/>
            <wp:docPr id="2406" name="Picture 2406" descr="This image depicts engine/pylon separation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0" cy="3648479"/>
                    </a:xfrm>
                    <a:prstGeom prst="rect">
                      <a:avLst/>
                    </a:prstGeom>
                    <a:noFill/>
                    <a:ln>
                      <a:noFill/>
                    </a:ln>
                  </pic:spPr>
                </pic:pic>
              </a:graphicData>
            </a:graphic>
          </wp:inline>
        </w:drawing>
      </w:r>
    </w:p>
    <w:p w14:paraId="0547E027" w14:textId="4F4B0A02" w:rsidR="00E4228F" w:rsidRPr="00EF59BD" w:rsidRDefault="00E4228F" w:rsidP="00E4228F">
      <w:pPr>
        <w:ind w:left="900"/>
        <w:rPr>
          <w:rStyle w:val="FootnoteReference"/>
        </w:rPr>
      </w:pPr>
      <w:r w:rsidRPr="00EF59BD">
        <w:rPr>
          <w:rStyle w:val="FootnoteReference"/>
        </w:rPr>
        <w:t xml:space="preserve">† The data </w:t>
      </w:r>
      <w:r w:rsidR="00D53BD5">
        <w:rPr>
          <w:rStyle w:val="FootnoteReference"/>
        </w:rPr>
        <w:t>i</w:t>
      </w:r>
      <w:r w:rsidR="00D53BD5" w:rsidRPr="0002195B">
        <w:rPr>
          <w:vertAlign w:val="superscript"/>
        </w:rPr>
        <w:t>s</w:t>
      </w:r>
      <w:r w:rsidR="00D53BD5" w:rsidRPr="00EF59BD">
        <w:rPr>
          <w:rStyle w:val="FootnoteReference"/>
        </w:rPr>
        <w:t xml:space="preserve"> </w:t>
      </w:r>
      <w:r w:rsidRPr="00EF59BD">
        <w:rPr>
          <w:rStyle w:val="FootnoteReference"/>
        </w:rPr>
        <w:t>combined here for convenience.</w:t>
      </w:r>
      <w:r w:rsidR="00E442E7">
        <w:rPr>
          <w:rStyle w:val="FootnoteReference"/>
        </w:rPr>
        <w:t xml:space="preserve"> </w:t>
      </w:r>
      <w:r w:rsidRPr="00EF59BD">
        <w:rPr>
          <w:rStyle w:val="FootnoteReference"/>
        </w:rPr>
        <w:t>The user should review the event descriptions and definitions in the CAAM reports for relevance to the particular issue being assessed.</w:t>
      </w:r>
    </w:p>
    <w:p w14:paraId="316EEB58" w14:textId="77777777" w:rsidR="0068466F" w:rsidRDefault="0068466F">
      <w:pPr>
        <w:rPr>
          <w:b/>
          <w:iCs/>
          <w:caps/>
        </w:rPr>
      </w:pPr>
      <w:r>
        <w:br w:type="page"/>
      </w:r>
    </w:p>
    <w:p w14:paraId="07476B22" w14:textId="77777777" w:rsidR="00E4228F" w:rsidRDefault="00E4228F" w:rsidP="00E4228F">
      <w:pPr>
        <w:pStyle w:val="Heading7"/>
      </w:pPr>
      <w:r>
        <w:lastRenderedPageBreak/>
        <w:t>FAILURE CONDITION: COWL SEPARATION.</w:t>
      </w:r>
    </w:p>
    <w:p w14:paraId="59E5BADC" w14:textId="1D3A1EAA" w:rsidR="00630B6A" w:rsidRDefault="00E4228F" w:rsidP="00630B6A">
      <w:pPr>
        <w:pStyle w:val="Levels1-3-OneParagraphUnderHeading"/>
      </w:pPr>
      <w:r>
        <w:t>A cowl separation is defined as a s</w:t>
      </w:r>
      <w:r w:rsidRPr="00D44C57">
        <w:t>eparation of nacelle components such as inlets, cowls, thrust reversers, exhaust nozzles, tail plugs, etc.</w:t>
      </w:r>
      <w:r w:rsidR="00E442E7">
        <w:t xml:space="preserve"> </w:t>
      </w:r>
      <w:r w:rsidRPr="00D44C57">
        <w:t>Separation of relatively small sections of skin, blow-out panels</w:t>
      </w:r>
      <w:r w:rsidR="00E14D48">
        <w:t>,</w:t>
      </w:r>
      <w:r w:rsidRPr="00D44C57">
        <w:t xml:space="preserve"> or other small pieces that are unlikely to hazard continued safe flight and landing are excluded.</w:t>
      </w:r>
      <w:r w:rsidR="00E442E7">
        <w:t xml:space="preserve"> </w:t>
      </w:r>
      <w:r w:rsidRPr="00D44C57">
        <w:t>Events resulting from ground contact are excluded.</w:t>
      </w:r>
    </w:p>
    <w:p w14:paraId="5D3E7D03" w14:textId="77777777" w:rsidR="00630B6A" w:rsidRDefault="00630B6A" w:rsidP="00630B6A">
      <w:pPr>
        <w:pStyle w:val="Levels1-3-OneParagraphUnderHeading"/>
      </w:pPr>
    </w:p>
    <w:p w14:paraId="46DB74CA" w14:textId="77777777" w:rsidR="00817F9A" w:rsidRDefault="00817F9A" w:rsidP="003D0CC0">
      <w:pPr>
        <w:pStyle w:val="Levels1-3-OneParagraphUnderHeading"/>
        <w:keepNext/>
        <w:jc w:val="center"/>
      </w:pPr>
    </w:p>
    <w:p w14:paraId="6FE675DD" w14:textId="228B36A7" w:rsidR="00817F9A" w:rsidRDefault="00817F9A" w:rsidP="000855F2">
      <w:pPr>
        <w:pStyle w:val="Caption"/>
      </w:pPr>
      <w:r>
        <w:t>Table D-</w:t>
      </w:r>
      <w:r w:rsidR="00474107">
        <w:rPr>
          <w:noProof/>
        </w:rPr>
        <w:t>16</w:t>
      </w:r>
      <w:r w:rsidRPr="00C177FD">
        <w:t xml:space="preserve"> - Cowl Separation Hazard Ratios</w:t>
      </w:r>
    </w:p>
    <w:p w14:paraId="414EB5EE" w14:textId="0CE84CEA" w:rsidR="003D0CC0" w:rsidRDefault="003D0CC0" w:rsidP="003D0CC0">
      <w:pPr>
        <w:pStyle w:val="Levels1-3-OneParagraphUnderHeading"/>
        <w:keepNext/>
        <w:jc w:val="center"/>
      </w:pPr>
      <w:r w:rsidRPr="003D0CC0">
        <w:rPr>
          <w:noProof/>
        </w:rPr>
        <w:drawing>
          <wp:inline distT="0" distB="0" distL="0" distR="0" wp14:anchorId="42ADE633" wp14:editId="46E06C6A">
            <wp:extent cx="3657600" cy="3648479"/>
            <wp:effectExtent l="0" t="0" r="0" b="9525"/>
            <wp:docPr id="2407" name="Picture 2407" descr="This image depicts cowl separation hazard ratio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0" cy="3648479"/>
                    </a:xfrm>
                    <a:prstGeom prst="rect">
                      <a:avLst/>
                    </a:prstGeom>
                    <a:noFill/>
                    <a:ln>
                      <a:noFill/>
                    </a:ln>
                  </pic:spPr>
                </pic:pic>
              </a:graphicData>
            </a:graphic>
          </wp:inline>
        </w:drawing>
      </w:r>
    </w:p>
    <w:p w14:paraId="1B841ABE" w14:textId="400B1193" w:rsidR="00630B6A" w:rsidRPr="00EF59BD" w:rsidRDefault="00630B6A" w:rsidP="00630B6A">
      <w:pPr>
        <w:ind w:left="900"/>
        <w:rPr>
          <w:rStyle w:val="FootnoteReference"/>
        </w:rPr>
      </w:pPr>
      <w:r w:rsidRPr="00EF59BD">
        <w:rPr>
          <w:rStyle w:val="FootnoteReference"/>
        </w:rPr>
        <w:t xml:space="preserve">† The data </w:t>
      </w:r>
      <w:r w:rsidR="00D53BD5">
        <w:rPr>
          <w:rStyle w:val="FootnoteReference"/>
        </w:rPr>
        <w:t>i</w:t>
      </w:r>
      <w:r w:rsidR="00D53BD5" w:rsidRPr="0002195B">
        <w:rPr>
          <w:vertAlign w:val="superscript"/>
        </w:rPr>
        <w:t>s</w:t>
      </w:r>
      <w:r w:rsidR="00D53BD5" w:rsidRPr="00D53BD5">
        <w:rPr>
          <w:rStyle w:val="FootnoteReference"/>
        </w:rPr>
        <w:t xml:space="preserve"> </w:t>
      </w:r>
      <w:r w:rsidRPr="00EF59BD">
        <w:rPr>
          <w:rStyle w:val="FootnoteReference"/>
        </w:rPr>
        <w:t>combined here for convenience.</w:t>
      </w:r>
      <w:r w:rsidR="00E442E7">
        <w:rPr>
          <w:rStyle w:val="FootnoteReference"/>
        </w:rPr>
        <w:t xml:space="preserve"> </w:t>
      </w:r>
      <w:r w:rsidRPr="00EF59BD">
        <w:rPr>
          <w:rStyle w:val="FootnoteReference"/>
        </w:rPr>
        <w:t>The user should review the event descriptions and definitions in the CAAM reports for relevance to the particular issue being assessed.</w:t>
      </w:r>
    </w:p>
    <w:p w14:paraId="3602B940" w14:textId="77777777" w:rsidR="0068466F" w:rsidRDefault="0068466F">
      <w:pPr>
        <w:rPr>
          <w:b/>
          <w:iCs/>
          <w:caps/>
        </w:rPr>
      </w:pPr>
      <w:r>
        <w:br w:type="page"/>
      </w:r>
    </w:p>
    <w:p w14:paraId="21899801" w14:textId="77777777" w:rsidR="00630B6A" w:rsidRDefault="00630B6A" w:rsidP="00630B6A">
      <w:pPr>
        <w:pStyle w:val="Heading7"/>
      </w:pPr>
      <w:r>
        <w:lastRenderedPageBreak/>
        <w:t>FAILURE CONDITION: ASYMMETRIC THRUST REVERSER DEPLOYMENT/INFLIGHT BETA.</w:t>
      </w:r>
    </w:p>
    <w:p w14:paraId="36992A57" w14:textId="3C8AF2E7" w:rsidR="00630B6A" w:rsidRDefault="00630B6A" w:rsidP="00630B6A">
      <w:pPr>
        <w:pStyle w:val="Levels1-3-OneParagraphUnderHeading"/>
      </w:pPr>
      <w:r>
        <w:t>An asymmetric thrust reverser deployment/inflight beta is defined as a</w:t>
      </w:r>
      <w:r w:rsidRPr="004B284F">
        <w:t xml:space="preserve"> significant safety event wherein a thrust reverser deploys in-flight, or a propeller enters beta mode in-flight (exclusive of design intent).</w:t>
      </w:r>
    </w:p>
    <w:p w14:paraId="39954C8E" w14:textId="77777777" w:rsidR="001A233C" w:rsidRDefault="001A233C" w:rsidP="00630B6A">
      <w:pPr>
        <w:pStyle w:val="Levels1-3-OneParagraphUnderHeading"/>
      </w:pPr>
    </w:p>
    <w:p w14:paraId="2CFA2C7D" w14:textId="3FCC2C26" w:rsidR="0068466F" w:rsidRPr="0097009B" w:rsidRDefault="001A233C" w:rsidP="00DC77D6">
      <w:pPr>
        <w:pStyle w:val="Levels1-3-OneParagraphUnderHeading"/>
        <w:keepNext/>
        <w:jc w:val="center"/>
        <w:rPr>
          <w:b/>
          <w:bCs/>
        </w:rPr>
      </w:pPr>
      <w:r w:rsidRPr="0097009B">
        <w:rPr>
          <w:b/>
          <w:bCs/>
        </w:rPr>
        <w:t>Table D-17 - Thrust Reverser Deploy - Inflight Hazard Ratios</w:t>
      </w:r>
    </w:p>
    <w:p w14:paraId="16C69489" w14:textId="77777777" w:rsidR="001A233C" w:rsidRPr="0097009B" w:rsidRDefault="001A233C" w:rsidP="003D0CC0">
      <w:pPr>
        <w:pStyle w:val="Levels1-3-OneParagraphUnderHeading"/>
        <w:keepNext/>
        <w:jc w:val="center"/>
        <w:rPr>
          <w:b/>
          <w:bCs/>
        </w:rPr>
      </w:pPr>
    </w:p>
    <w:p w14:paraId="14898BEF" w14:textId="77777777" w:rsidR="003D0CC0" w:rsidRDefault="00343B99" w:rsidP="00DC77D6">
      <w:pPr>
        <w:pStyle w:val="Levels1-3-OneParagraphUnderHeading"/>
        <w:keepNext/>
        <w:jc w:val="center"/>
      </w:pPr>
      <w:r w:rsidRPr="00343B99">
        <w:rPr>
          <w:noProof/>
        </w:rPr>
        <w:drawing>
          <wp:inline distT="0" distB="0" distL="0" distR="0" wp14:anchorId="546CFA40" wp14:editId="60C0DAA3">
            <wp:extent cx="3821430" cy="3070860"/>
            <wp:effectExtent l="0" t="0" r="7620" b="0"/>
            <wp:docPr id="10" name="Picture 10" descr="Thrust reverser deploy - Infllight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rust reverser deploy - Infllight chart "/>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21430" cy="3070860"/>
                    </a:xfrm>
                    <a:prstGeom prst="rect">
                      <a:avLst/>
                    </a:prstGeom>
                    <a:noFill/>
                    <a:ln>
                      <a:noFill/>
                    </a:ln>
                  </pic:spPr>
                </pic:pic>
              </a:graphicData>
            </a:graphic>
          </wp:inline>
        </w:drawing>
      </w:r>
    </w:p>
    <w:p w14:paraId="0F4C79E4" w14:textId="64203608" w:rsidR="005240A3" w:rsidRPr="005240A3" w:rsidRDefault="005240A3" w:rsidP="005240A3">
      <w:pPr>
        <w:ind w:left="900"/>
        <w:rPr>
          <w:rStyle w:val="FootnoteReference"/>
        </w:rPr>
      </w:pPr>
      <w:r w:rsidRPr="005240A3">
        <w:rPr>
          <w:rStyle w:val="FootnoteReference"/>
        </w:rPr>
        <w:t xml:space="preserve">† Data </w:t>
      </w:r>
      <w:r w:rsidR="00D53BD5">
        <w:rPr>
          <w:rStyle w:val="FootnoteReference"/>
        </w:rPr>
        <w:t>w</w:t>
      </w:r>
      <w:r w:rsidR="00D53BD5" w:rsidRPr="0002195B">
        <w:rPr>
          <w:vertAlign w:val="superscript"/>
        </w:rPr>
        <w:t>as</w:t>
      </w:r>
      <w:r w:rsidR="00D53BD5" w:rsidRPr="00D53BD5">
        <w:rPr>
          <w:rStyle w:val="FootnoteReference"/>
        </w:rPr>
        <w:t xml:space="preserve"> </w:t>
      </w:r>
      <w:r w:rsidRPr="005240A3">
        <w:rPr>
          <w:rStyle w:val="FootnoteReference"/>
        </w:rPr>
        <w:t>not combined due to the changes in the definition across the three reports.</w:t>
      </w:r>
    </w:p>
    <w:p w14:paraId="03ECD39C" w14:textId="22357283" w:rsidR="005240A3" w:rsidRPr="005240A3" w:rsidRDefault="005240A3" w:rsidP="005240A3">
      <w:pPr>
        <w:ind w:left="900"/>
        <w:rPr>
          <w:rStyle w:val="FootnoteReference"/>
        </w:rPr>
      </w:pPr>
      <w:r w:rsidRPr="005240A3">
        <w:rPr>
          <w:rStyle w:val="FootnoteReference"/>
        </w:rPr>
        <w:t>‡ Note</w:t>
      </w:r>
      <w:r w:rsidR="00AB265A">
        <w:rPr>
          <w:rStyle w:val="FootnoteReference"/>
        </w:rPr>
        <w:t>: T</w:t>
      </w:r>
      <w:r w:rsidRPr="005240A3">
        <w:rPr>
          <w:rStyle w:val="FootnoteReference"/>
        </w:rPr>
        <w:t>he CAAM 1 report did not include L5 as a classification.</w:t>
      </w:r>
      <w:r w:rsidR="00E442E7">
        <w:rPr>
          <w:rStyle w:val="FootnoteReference"/>
        </w:rPr>
        <w:t xml:space="preserve"> </w:t>
      </w:r>
      <w:r w:rsidRPr="005240A3">
        <w:rPr>
          <w:rStyle w:val="FootnoteReference"/>
        </w:rPr>
        <w:t xml:space="preserve">One L4 event was re-classified as L5 in the original release of AC 39-8, and the classification is </w:t>
      </w:r>
      <w:r w:rsidR="00343B99">
        <w:rPr>
          <w:rStyle w:val="FootnoteReference"/>
        </w:rPr>
        <w:t xml:space="preserve">also used </w:t>
      </w:r>
      <w:r w:rsidRPr="005240A3">
        <w:rPr>
          <w:rStyle w:val="FootnoteReference"/>
        </w:rPr>
        <w:t>here.</w:t>
      </w:r>
    </w:p>
    <w:p w14:paraId="2F7EA87E" w14:textId="77777777" w:rsidR="0068466F" w:rsidRDefault="0068466F">
      <w:pPr>
        <w:rPr>
          <w:b/>
          <w:iCs/>
          <w:caps/>
        </w:rPr>
      </w:pPr>
      <w:r>
        <w:br w:type="page"/>
      </w:r>
    </w:p>
    <w:p w14:paraId="2912B2AE" w14:textId="77777777" w:rsidR="005240A3" w:rsidRDefault="005240A3" w:rsidP="005240A3">
      <w:pPr>
        <w:pStyle w:val="Heading7"/>
      </w:pPr>
      <w:r>
        <w:lastRenderedPageBreak/>
        <w:t>FAILURE CONDITION: FUEL LEAK.</w:t>
      </w:r>
    </w:p>
    <w:p w14:paraId="4D5D8CEF" w14:textId="04D6E355" w:rsidR="005240A3" w:rsidRDefault="005240A3" w:rsidP="005240A3">
      <w:pPr>
        <w:pStyle w:val="Levels1-3-OneParagraphUnderHeading"/>
      </w:pPr>
      <w:r>
        <w:t>A fuel leak is defined as a leak of fuel</w:t>
      </w:r>
      <w:r w:rsidRPr="00F82DE0">
        <w:t xml:space="preserve"> into the pylon or dry bay, or under the engine cowls, which c</w:t>
      </w:r>
      <w:r>
        <w:t>ould credibly lead to a fire.</w:t>
      </w:r>
      <w:r w:rsidR="00E442E7">
        <w:t xml:space="preserve"> </w:t>
      </w:r>
      <w:r w:rsidRPr="00F82DE0">
        <w:t>Leaks collected from shrouds and components and drained directly overboard by a dedicated drain were excluded from those leaks under consideration due to their lack of being fire safety concerns.</w:t>
      </w:r>
      <w:r w:rsidR="00E442E7">
        <w:t xml:space="preserve"> </w:t>
      </w:r>
      <w:r w:rsidRPr="00F82DE0">
        <w:t>Drips and seeps were also excluded.</w:t>
      </w:r>
      <w:r w:rsidR="00E442E7">
        <w:t xml:space="preserve"> </w:t>
      </w:r>
      <w:r w:rsidRPr="00F82DE0">
        <w:t>In-tank leakage was excluded.</w:t>
      </w:r>
    </w:p>
    <w:p w14:paraId="18F490DB" w14:textId="25D003F8" w:rsidR="0068466F" w:rsidRDefault="0068466F" w:rsidP="005240A3">
      <w:pPr>
        <w:pStyle w:val="Levels1-3-OneParagraphUnderHeading"/>
        <w:jc w:val="center"/>
      </w:pPr>
    </w:p>
    <w:p w14:paraId="58707241" w14:textId="191AE904" w:rsidR="009B32A3" w:rsidRPr="005240A3" w:rsidRDefault="009B32A3" w:rsidP="000855F2">
      <w:pPr>
        <w:pStyle w:val="Caption"/>
      </w:pPr>
      <w:r>
        <w:t>Table D-</w:t>
      </w:r>
      <w:r w:rsidR="00116369">
        <w:rPr>
          <w:noProof/>
        </w:rPr>
        <w:t>18</w:t>
      </w:r>
      <w:r w:rsidRPr="00EF3922">
        <w:t xml:space="preserve"> - Fuel Leak Data</w:t>
      </w:r>
    </w:p>
    <w:p w14:paraId="7965E7D7" w14:textId="77777777" w:rsidR="005240A3" w:rsidRPr="005240A3" w:rsidRDefault="003D0CC0" w:rsidP="005240A3">
      <w:pPr>
        <w:pStyle w:val="Levels1-3-OneParagraphUnderHeading"/>
        <w:jc w:val="center"/>
      </w:pPr>
      <w:r w:rsidRPr="003D0CC0">
        <w:rPr>
          <w:noProof/>
        </w:rPr>
        <w:drawing>
          <wp:inline distT="0" distB="0" distL="0" distR="0" wp14:anchorId="0B591872" wp14:editId="61F774A3">
            <wp:extent cx="3657600" cy="2946146"/>
            <wp:effectExtent l="0" t="0" r="0" b="6985"/>
            <wp:docPr id="2409" name="Picture 2409" descr="Fuel Leak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 name="Picture 2409" descr="Fuel Leak Chart"/>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57600" cy="2946146"/>
                    </a:xfrm>
                    <a:prstGeom prst="rect">
                      <a:avLst/>
                    </a:prstGeom>
                    <a:noFill/>
                    <a:ln>
                      <a:noFill/>
                    </a:ln>
                  </pic:spPr>
                </pic:pic>
              </a:graphicData>
            </a:graphic>
          </wp:inline>
        </w:drawing>
      </w:r>
    </w:p>
    <w:p w14:paraId="12D14893" w14:textId="77777777" w:rsidR="005240A3" w:rsidRPr="005240A3" w:rsidRDefault="005240A3" w:rsidP="005240A3">
      <w:pPr>
        <w:ind w:left="900"/>
        <w:rPr>
          <w:rStyle w:val="FootnoteReference"/>
        </w:rPr>
      </w:pPr>
      <w:r w:rsidRPr="005240A3">
        <w:rPr>
          <w:rStyle w:val="FootnoteReference"/>
        </w:rPr>
        <w:t>† Data was not combined due to the changes in the definition across the three reports, the wide variety of circumstances surrounding the source of the fuel leak, and significant under-reporting of base events.</w:t>
      </w:r>
    </w:p>
    <w:p w14:paraId="01D9EF8C" w14:textId="77777777" w:rsidR="00456D93" w:rsidRDefault="00456D93">
      <w:pPr>
        <w:rPr>
          <w:b/>
          <w:iCs/>
          <w:caps/>
        </w:rPr>
      </w:pPr>
      <w:r>
        <w:br w:type="page"/>
      </w:r>
    </w:p>
    <w:p w14:paraId="20C76D8E" w14:textId="77777777" w:rsidR="005240A3" w:rsidRDefault="005240A3" w:rsidP="005240A3">
      <w:pPr>
        <w:pStyle w:val="Heading7"/>
      </w:pPr>
      <w:r>
        <w:lastRenderedPageBreak/>
        <w:t>FAILURE CONDITION: PROPELLER SYSTEM EVENTs.</w:t>
      </w:r>
    </w:p>
    <w:p w14:paraId="1DC2B410" w14:textId="22FE4A36" w:rsidR="005240A3" w:rsidRDefault="005240A3" w:rsidP="005240A3">
      <w:pPr>
        <w:pStyle w:val="Levels1-3-Bullet"/>
      </w:pPr>
      <w:r w:rsidRPr="0011793E">
        <w:rPr>
          <w:u w:val="single"/>
        </w:rPr>
        <w:t>Propeller separation</w:t>
      </w:r>
      <w:r w:rsidR="00A30CF3">
        <w:rPr>
          <w:u w:val="single"/>
        </w:rPr>
        <w:t xml:space="preserve"> and </w:t>
      </w:r>
      <w:r w:rsidRPr="0011793E">
        <w:rPr>
          <w:u w:val="single"/>
        </w:rPr>
        <w:t>debris release</w:t>
      </w:r>
      <w:r w:rsidR="00EB048C">
        <w:rPr>
          <w:u w:val="single"/>
        </w:rPr>
        <w:t>.</w:t>
      </w:r>
      <w:r w:rsidR="00E442E7">
        <w:t xml:space="preserve"> </w:t>
      </w:r>
      <w:r w:rsidRPr="0011793E">
        <w:t>Separation of single or multiple blades, or large piece</w:t>
      </w:r>
      <w:r w:rsidR="00B81387">
        <w:t>s</w:t>
      </w:r>
      <w:r w:rsidRPr="0011793E">
        <w:t xml:space="preserve"> thereof, due to blade or hub malfunction.</w:t>
      </w:r>
      <w:r w:rsidR="00E442E7">
        <w:t xml:space="preserve"> </w:t>
      </w:r>
      <w:r w:rsidRPr="0011793E">
        <w:t xml:space="preserve">Note that events occurring after </w:t>
      </w:r>
      <w:r w:rsidR="004D0B11">
        <w:t xml:space="preserve">a </w:t>
      </w:r>
      <w:r w:rsidRPr="0011793E">
        <w:t xml:space="preserve">ground strike are included for their information on their threat to the </w:t>
      </w:r>
      <w:r w:rsidR="000063F1">
        <w:t>airplane</w:t>
      </w:r>
      <w:r w:rsidR="000063F1" w:rsidRPr="0011793E">
        <w:t xml:space="preserve"> </w:t>
      </w:r>
      <w:r w:rsidRPr="0011793E">
        <w:t>or its occupants.</w:t>
      </w:r>
    </w:p>
    <w:p w14:paraId="51827B44" w14:textId="0389073D" w:rsidR="005240A3" w:rsidRDefault="005240A3" w:rsidP="005240A3">
      <w:pPr>
        <w:pStyle w:val="Levels1-3-Bullet"/>
      </w:pPr>
      <w:proofErr w:type="spellStart"/>
      <w:r w:rsidRPr="0011793E">
        <w:rPr>
          <w:u w:val="single"/>
        </w:rPr>
        <w:t>Autofeather</w:t>
      </w:r>
      <w:proofErr w:type="spellEnd"/>
      <w:r w:rsidR="00A72DA2">
        <w:rPr>
          <w:u w:val="single"/>
        </w:rPr>
        <w:t xml:space="preserve"> and </w:t>
      </w:r>
      <w:r w:rsidRPr="0011793E">
        <w:rPr>
          <w:u w:val="single"/>
        </w:rPr>
        <w:t>pitch lock</w:t>
      </w:r>
      <w:r w:rsidR="00EB048C">
        <w:rPr>
          <w:u w:val="single"/>
        </w:rPr>
        <w:t>.</w:t>
      </w:r>
      <w:r w:rsidR="00E442E7">
        <w:t xml:space="preserve"> </w:t>
      </w:r>
      <w:r w:rsidRPr="0011793E">
        <w:t xml:space="preserve">Propeller system malfunction leading to </w:t>
      </w:r>
      <w:r w:rsidR="00B81387">
        <w:t xml:space="preserve">the </w:t>
      </w:r>
      <w:r w:rsidRPr="0011793E">
        <w:t>inability to control the propeller.</w:t>
      </w:r>
      <w:r w:rsidR="00E442E7">
        <w:t xml:space="preserve"> </w:t>
      </w:r>
      <w:r w:rsidRPr="0011793E">
        <w:t>Control hunting is excluded as a normal product behavior.</w:t>
      </w:r>
    </w:p>
    <w:p w14:paraId="15BFB50D" w14:textId="133B5D24" w:rsidR="005240A3" w:rsidRDefault="005240A3" w:rsidP="005240A3">
      <w:pPr>
        <w:pStyle w:val="Levels1-3-Bullet"/>
      </w:pPr>
      <w:r w:rsidRPr="0011793E">
        <w:rPr>
          <w:u w:val="single"/>
        </w:rPr>
        <w:t>Propeller system malfunction recognition and response (PSMRR</w:t>
      </w:r>
      <w:r w:rsidRPr="00E93368">
        <w:rPr>
          <w:u w:val="single"/>
        </w:rPr>
        <w:t>)</w:t>
      </w:r>
      <w:r w:rsidR="00EB048C" w:rsidRPr="00E93368">
        <w:rPr>
          <w:u w:val="single"/>
        </w:rPr>
        <w:t>.</w:t>
      </w:r>
      <w:r w:rsidR="00E442E7">
        <w:t xml:space="preserve"> </w:t>
      </w:r>
      <w:r w:rsidRPr="0011793E">
        <w:t xml:space="preserve">A significant safety event initiating from a propeller system malfunction which, by itself, does not hazard the </w:t>
      </w:r>
      <w:r w:rsidR="000063F1">
        <w:t>airplane</w:t>
      </w:r>
      <w:r w:rsidRPr="0011793E">
        <w:t>, passengers, or crew, but is compounded by inappropriate crew response.</w:t>
      </w:r>
    </w:p>
    <w:p w14:paraId="769162ED" w14:textId="1BC1DF83" w:rsidR="005240A3" w:rsidRDefault="005240A3" w:rsidP="00EB048C">
      <w:pPr>
        <w:pStyle w:val="Levels1-3-Bullet"/>
      </w:pPr>
      <w:r w:rsidRPr="0011793E">
        <w:rPr>
          <w:u w:val="single"/>
        </w:rPr>
        <w:t>Crew error</w:t>
      </w:r>
      <w:r w:rsidR="00EB048C">
        <w:rPr>
          <w:u w:val="single"/>
        </w:rPr>
        <w:t>.</w:t>
      </w:r>
      <w:r w:rsidR="00E442E7">
        <w:t xml:space="preserve"> </w:t>
      </w:r>
      <w:r w:rsidR="00AB265A">
        <w:t>I</w:t>
      </w:r>
      <w:r w:rsidR="001A0312">
        <w:t>n the context of the propeller system</w:t>
      </w:r>
      <w:r w:rsidR="00AB265A">
        <w:t>, a</w:t>
      </w:r>
      <w:r w:rsidRPr="0011793E">
        <w:t xml:space="preserve"> significant safety event caused by a propeller system malfunction or improper operation that was caused by an inappropriate crew action, excluding sabotage, gross negligence</w:t>
      </w:r>
      <w:r w:rsidR="004D0B11">
        <w:t>,</w:t>
      </w:r>
      <w:r w:rsidRPr="0011793E">
        <w:t xml:space="preserve"> and suicide (e.g., operation in beta mode in violation of operating instructions).</w:t>
      </w:r>
      <w:r w:rsidR="00E442E7">
        <w:t xml:space="preserve"> </w:t>
      </w:r>
      <w:r w:rsidR="00AB265A">
        <w:t>Also n</w:t>
      </w:r>
      <w:r w:rsidRPr="0011793E">
        <w:t>ot included are events where inappropriate crew action causes a propeller system malfunction through very indirect means such as flying the airplane into the ground or running the airplane into equipment on the taxiway</w:t>
      </w:r>
      <w:r w:rsidR="00FC59D7" w:rsidRPr="00B74E13">
        <w:t xml:space="preserve"> and </w:t>
      </w:r>
      <w:r w:rsidRPr="0011793E">
        <w:t>runway.</w:t>
      </w:r>
      <w:r w:rsidR="00E442E7">
        <w:t xml:space="preserve"> </w:t>
      </w:r>
      <w:r w:rsidR="00456D93">
        <w:t xml:space="preserve">This category has previously been referred to as Propulsion System Malfunction </w:t>
      </w:r>
      <w:proofErr w:type="gramStart"/>
      <w:r w:rsidR="00456D93">
        <w:t>plus</w:t>
      </w:r>
      <w:proofErr w:type="gramEnd"/>
      <w:r w:rsidR="00456D93">
        <w:t xml:space="preserve"> Inappropriate Crew Response – PSM+ICR.</w:t>
      </w:r>
    </w:p>
    <w:p w14:paraId="428D0892" w14:textId="1962E2D2" w:rsidR="005240A3" w:rsidRDefault="005240A3" w:rsidP="00EB048C">
      <w:pPr>
        <w:pStyle w:val="Levels1-3-Bullet"/>
      </w:pPr>
      <w:r>
        <w:rPr>
          <w:u w:val="single"/>
        </w:rPr>
        <w:t xml:space="preserve">Propeller </w:t>
      </w:r>
      <w:r w:rsidRPr="00B74E13">
        <w:rPr>
          <w:u w:val="single"/>
        </w:rPr>
        <w:t>gearbox</w:t>
      </w:r>
      <w:r w:rsidR="00FC59D7" w:rsidRPr="00B74E13">
        <w:rPr>
          <w:u w:val="single"/>
        </w:rPr>
        <w:t xml:space="preserve"> and </w:t>
      </w:r>
      <w:r>
        <w:rPr>
          <w:u w:val="single"/>
        </w:rPr>
        <w:t>attachment</w:t>
      </w:r>
      <w:r w:rsidR="00EB048C">
        <w:rPr>
          <w:u w:val="single"/>
        </w:rPr>
        <w:t>.</w:t>
      </w:r>
      <w:r w:rsidR="00E442E7">
        <w:t xml:space="preserve"> </w:t>
      </w:r>
      <w:r w:rsidR="00AB265A">
        <w:t>A</w:t>
      </w:r>
      <w:r w:rsidR="00FC59D7">
        <w:t xml:space="preserve"> propeller gearbox and attachment failure </w:t>
      </w:r>
      <w:r w:rsidR="000709A9">
        <w:t>are</w:t>
      </w:r>
      <w:r w:rsidR="00FC59D7">
        <w:t xml:space="preserve"> defined as an i</w:t>
      </w:r>
      <w:r w:rsidRPr="00086567">
        <w:t>n-flight separation of a propeller assembly as the result of a propeller gearbox or attachment malfunction.</w:t>
      </w:r>
    </w:p>
    <w:p w14:paraId="378EA73A" w14:textId="7EBA5A85" w:rsidR="005240A3" w:rsidRDefault="005240A3" w:rsidP="00EB048C">
      <w:pPr>
        <w:pStyle w:val="Levels1-3-Bullet"/>
      </w:pPr>
      <w:r w:rsidRPr="00086567">
        <w:rPr>
          <w:u w:val="single"/>
        </w:rPr>
        <w:t>Loss of control (negative thrust)</w:t>
      </w:r>
      <w:r w:rsidR="00EB048C">
        <w:rPr>
          <w:u w:val="single"/>
        </w:rPr>
        <w:t>.</w:t>
      </w:r>
      <w:r w:rsidR="00E442E7">
        <w:t xml:space="preserve"> </w:t>
      </w:r>
      <w:r w:rsidR="00FC59D7">
        <w:t>The los</w:t>
      </w:r>
      <w:r w:rsidR="00D957E7">
        <w:t>s</w:t>
      </w:r>
      <w:r w:rsidR="00FC59D7">
        <w:t xml:space="preserve"> of control is defined as a p</w:t>
      </w:r>
      <w:r w:rsidRPr="00086567">
        <w:t>ropeller system malfunction leading to negative thrust (high drag).</w:t>
      </w:r>
    </w:p>
    <w:p w14:paraId="31CB1EF3" w14:textId="7AD4E8D5" w:rsidR="009B32A3" w:rsidRDefault="005240A3" w:rsidP="0024174F">
      <w:pPr>
        <w:pStyle w:val="Levels1-3-Bullet"/>
      </w:pPr>
      <w:r w:rsidRPr="00086567">
        <w:rPr>
          <w:u w:val="single"/>
        </w:rPr>
        <w:t>Other</w:t>
      </w:r>
      <w:r w:rsidR="00EB048C">
        <w:rPr>
          <w:u w:val="single"/>
        </w:rPr>
        <w:t>.</w:t>
      </w:r>
      <w:r w:rsidR="00E442E7">
        <w:t xml:space="preserve"> </w:t>
      </w:r>
      <w:r w:rsidRPr="00086567">
        <w:t xml:space="preserve">A significant propeller-related safety event not included in the propeller categories discussed above and for which the initiating cause(s) is unique to one </w:t>
      </w:r>
      <w:r w:rsidR="00DA2449">
        <w:t>HL</w:t>
      </w:r>
      <w:r w:rsidRPr="00086567">
        <w:t xml:space="preserve"> 3 or 4 event in the reporting period.</w:t>
      </w:r>
    </w:p>
    <w:p w14:paraId="78906199" w14:textId="6B5A33F9" w:rsidR="009B32A3" w:rsidRPr="0097009B" w:rsidRDefault="009B32A3" w:rsidP="00D67FA8">
      <w:pPr>
        <w:keepNext/>
        <w:jc w:val="center"/>
        <w:rPr>
          <w:b/>
          <w:bCs/>
          <w:noProof/>
        </w:rPr>
      </w:pPr>
      <w:r w:rsidRPr="0097009B">
        <w:rPr>
          <w:b/>
          <w:bCs/>
          <w:noProof/>
        </w:rPr>
        <w:lastRenderedPageBreak/>
        <w:t>Table D-19 - Propeller System Hazard Ratios</w:t>
      </w:r>
    </w:p>
    <w:p w14:paraId="7E88C1ED" w14:textId="77777777" w:rsidR="009B32A3" w:rsidRDefault="009B32A3" w:rsidP="00D67FA8">
      <w:pPr>
        <w:keepNext/>
        <w:jc w:val="center"/>
        <w:rPr>
          <w:noProof/>
        </w:rPr>
      </w:pPr>
    </w:p>
    <w:p w14:paraId="29E58A32" w14:textId="4D3EAD6F" w:rsidR="00D67FA8" w:rsidRDefault="00D67FA8" w:rsidP="00D67FA8">
      <w:pPr>
        <w:keepNext/>
        <w:jc w:val="center"/>
      </w:pPr>
      <w:r w:rsidRPr="00D67FA8">
        <w:rPr>
          <w:noProof/>
        </w:rPr>
        <w:drawing>
          <wp:inline distT="0" distB="0" distL="0" distR="0" wp14:anchorId="777686D8" wp14:editId="722474F1">
            <wp:extent cx="4297680" cy="4581823"/>
            <wp:effectExtent l="0" t="0" r="7620" b="9525"/>
            <wp:docPr id="2410" name="Picture 2410" descr="Propeller System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Picture 2410" descr="Propeller System Chart"/>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297680" cy="4581823"/>
                    </a:xfrm>
                    <a:prstGeom prst="rect">
                      <a:avLst/>
                    </a:prstGeom>
                    <a:noFill/>
                    <a:ln>
                      <a:noFill/>
                    </a:ln>
                  </pic:spPr>
                </pic:pic>
              </a:graphicData>
            </a:graphic>
          </wp:inline>
        </w:drawing>
      </w:r>
    </w:p>
    <w:p w14:paraId="44637AA9" w14:textId="44CF0597" w:rsidR="00414552" w:rsidRPr="00414552" w:rsidRDefault="00414552" w:rsidP="00414552">
      <w:pPr>
        <w:ind w:left="900"/>
        <w:rPr>
          <w:rStyle w:val="FootnoteReference"/>
        </w:rPr>
      </w:pPr>
      <w:r w:rsidRPr="00414552">
        <w:rPr>
          <w:rStyle w:val="FootnoteReference"/>
        </w:rPr>
        <w:t xml:space="preserve">† The data </w:t>
      </w:r>
      <w:r w:rsidR="00D53BD5">
        <w:rPr>
          <w:rStyle w:val="FootnoteReference"/>
        </w:rPr>
        <w:t>i</w:t>
      </w:r>
      <w:r w:rsidR="00D53BD5" w:rsidRPr="0002195B">
        <w:rPr>
          <w:vertAlign w:val="superscript"/>
        </w:rPr>
        <w:t>s</w:t>
      </w:r>
      <w:r w:rsidR="00D53BD5" w:rsidRPr="00D53BD5">
        <w:rPr>
          <w:rStyle w:val="FootnoteReference"/>
        </w:rPr>
        <w:t xml:space="preserve"> </w:t>
      </w:r>
      <w:r w:rsidRPr="00414552">
        <w:rPr>
          <w:rStyle w:val="FootnoteReference"/>
        </w:rPr>
        <w:t>combined here for convenience.</w:t>
      </w:r>
      <w:r w:rsidR="00E442E7">
        <w:rPr>
          <w:rStyle w:val="FootnoteReference"/>
        </w:rPr>
        <w:t xml:space="preserve"> </w:t>
      </w:r>
      <w:r w:rsidRPr="00414552">
        <w:rPr>
          <w:rStyle w:val="FootnoteReference"/>
        </w:rPr>
        <w:t>The user should review the event descriptions and definitions in the CAAM reports for relevance to the particular issue being assessed.</w:t>
      </w:r>
    </w:p>
    <w:p w14:paraId="37658DC5" w14:textId="77777777" w:rsidR="00414552" w:rsidRPr="00414552" w:rsidRDefault="00414552" w:rsidP="00414552">
      <w:pPr>
        <w:ind w:left="900"/>
        <w:rPr>
          <w:rStyle w:val="FootnoteReference"/>
        </w:rPr>
      </w:pPr>
      <w:r w:rsidRPr="00414552">
        <w:rPr>
          <w:rStyle w:val="FootnoteReference"/>
        </w:rPr>
        <w:t>‡ Data for these categories was only collected in CAAM 1, and not included in the Combined totals.</w:t>
      </w:r>
    </w:p>
    <w:p w14:paraId="4DFC9961" w14:textId="77777777" w:rsidR="00006380" w:rsidRDefault="00414552" w:rsidP="00414552">
      <w:pPr>
        <w:ind w:left="900"/>
      </w:pPr>
      <w:r w:rsidRPr="00414552">
        <w:rPr>
          <w:rStyle w:val="FootnoteReference"/>
          <w:rFonts w:ascii="Cambria Math" w:hAnsi="Cambria Math" w:cs="Cambria Math"/>
        </w:rPr>
        <w:t>⁰</w:t>
      </w:r>
      <w:r w:rsidRPr="00414552">
        <w:rPr>
          <w:rStyle w:val="FootnoteReference"/>
        </w:rPr>
        <w:t xml:space="preserve"> Hazard ratios not calculated due to under-reporting of base events.</w:t>
      </w:r>
    </w:p>
    <w:p w14:paraId="6E94FDC5" w14:textId="77777777" w:rsidR="00456D93" w:rsidRDefault="00456D93">
      <w:pPr>
        <w:rPr>
          <w:b/>
          <w:iCs/>
          <w:caps/>
        </w:rPr>
      </w:pPr>
      <w:r>
        <w:br w:type="page"/>
      </w:r>
    </w:p>
    <w:p w14:paraId="64D85F1B" w14:textId="77777777" w:rsidR="00414552" w:rsidRDefault="00414552" w:rsidP="00414552">
      <w:pPr>
        <w:pStyle w:val="Heading7"/>
      </w:pPr>
      <w:r w:rsidRPr="00414552">
        <w:lastRenderedPageBreak/>
        <w:t>FAILURE CONDITION: APU SYSTEM EVENT.</w:t>
      </w:r>
    </w:p>
    <w:p w14:paraId="5BC5886A" w14:textId="634C28D6" w:rsidR="00414552" w:rsidRDefault="00414552" w:rsidP="00414552">
      <w:pPr>
        <w:pStyle w:val="Levels1-3-Bullet"/>
      </w:pPr>
      <w:r w:rsidRPr="0011793E">
        <w:rPr>
          <w:u w:val="single"/>
        </w:rPr>
        <w:t>Uncontained</w:t>
      </w:r>
      <w:r w:rsidR="00911115">
        <w:rPr>
          <w:u w:val="single"/>
        </w:rPr>
        <w:t>.</w:t>
      </w:r>
      <w:r w:rsidR="00E442E7">
        <w:t xml:space="preserve"> </w:t>
      </w:r>
      <w:r w:rsidRPr="0011793E">
        <w:t>An uncontained rotating component malfunction that allows debris to exit through the APU containment casings.</w:t>
      </w:r>
    </w:p>
    <w:p w14:paraId="440F4324" w14:textId="31AA3784" w:rsidR="00414552" w:rsidRDefault="00414552" w:rsidP="00414552">
      <w:pPr>
        <w:pStyle w:val="Levels1-3-Bullet"/>
      </w:pPr>
      <w:r w:rsidRPr="0011793E">
        <w:rPr>
          <w:u w:val="single"/>
        </w:rPr>
        <w:t>Axial uncontained</w:t>
      </w:r>
      <w:r w:rsidR="00911115">
        <w:rPr>
          <w:u w:val="single"/>
        </w:rPr>
        <w:t>.</w:t>
      </w:r>
      <w:r w:rsidR="00E442E7">
        <w:t xml:space="preserve"> </w:t>
      </w:r>
      <w:r w:rsidRPr="0011793E">
        <w:t>Major rotating components that exit the APU containment casings in an axial direction (i.e., without penetrating the case).</w:t>
      </w:r>
    </w:p>
    <w:p w14:paraId="188FA6DB" w14:textId="211A2384" w:rsidR="00414552" w:rsidRDefault="00414552" w:rsidP="00414552">
      <w:pPr>
        <w:pStyle w:val="Levels1-3-Bullet"/>
      </w:pPr>
      <w:r w:rsidRPr="0011793E">
        <w:rPr>
          <w:u w:val="single"/>
        </w:rPr>
        <w:t>Overspeed</w:t>
      </w:r>
      <w:r w:rsidR="00911115">
        <w:rPr>
          <w:u w:val="single"/>
        </w:rPr>
        <w:t>.</w:t>
      </w:r>
      <w:r w:rsidR="00E442E7">
        <w:t xml:space="preserve"> </w:t>
      </w:r>
      <w:r w:rsidRPr="0011793E">
        <w:t>Acceleration of a rotor beyond the speed sanctioned in the Type Certificate Data Sheet.</w:t>
      </w:r>
    </w:p>
    <w:p w14:paraId="5A00CCD0" w14:textId="0C49DA31" w:rsidR="00414552" w:rsidRDefault="00414552" w:rsidP="00414552">
      <w:pPr>
        <w:pStyle w:val="Levels1-3-Bullet"/>
      </w:pPr>
      <w:r w:rsidRPr="0011793E">
        <w:rPr>
          <w:u w:val="single"/>
        </w:rPr>
        <w:t>Fire</w:t>
      </w:r>
      <w:r w:rsidR="00911115">
        <w:rPr>
          <w:u w:val="single"/>
        </w:rPr>
        <w:t>.</w:t>
      </w:r>
      <w:r w:rsidR="00E442E7">
        <w:t xml:space="preserve"> </w:t>
      </w:r>
      <w:r w:rsidRPr="0011793E">
        <w:t>Combustion external to the APU casings.</w:t>
      </w:r>
      <w:r w:rsidR="00E442E7">
        <w:t xml:space="preserve"> </w:t>
      </w:r>
      <w:r w:rsidRPr="0011793E">
        <w:t>Tailpipe fire data and hot air leaks resulting in fire warnings, without combustion, are excluded from the definition and documented separately.</w:t>
      </w:r>
    </w:p>
    <w:p w14:paraId="6BBE3CAC" w14:textId="77532C25" w:rsidR="00414552" w:rsidRDefault="00414552" w:rsidP="00414552">
      <w:pPr>
        <w:pStyle w:val="Levels1-3-Bullet"/>
      </w:pPr>
      <w:r w:rsidRPr="0011793E">
        <w:rPr>
          <w:u w:val="single"/>
        </w:rPr>
        <w:t>Tailpipe fire</w:t>
      </w:r>
      <w:r w:rsidR="00911115">
        <w:rPr>
          <w:u w:val="single"/>
        </w:rPr>
        <w:t>.</w:t>
      </w:r>
      <w:r w:rsidR="00E442E7">
        <w:t xml:space="preserve"> </w:t>
      </w:r>
      <w:r w:rsidRPr="0011793E">
        <w:t>Fires within the tailpipe and exiting the tailpipe, where flames are visible.</w:t>
      </w:r>
      <w:r w:rsidR="00E442E7">
        <w:t xml:space="preserve"> </w:t>
      </w:r>
      <w:r w:rsidRPr="0011793E">
        <w:t>Hot starts resulting in a “glow” are excluded.</w:t>
      </w:r>
    </w:p>
    <w:p w14:paraId="6E20D3D8" w14:textId="705026CF" w:rsidR="00E266D0" w:rsidRDefault="00414552" w:rsidP="00E266D0">
      <w:pPr>
        <w:pStyle w:val="Levels1-3-Bullet"/>
      </w:pPr>
      <w:proofErr w:type="gramStart"/>
      <w:r w:rsidRPr="0011793E">
        <w:rPr>
          <w:u w:val="single"/>
        </w:rPr>
        <w:t>Compartment</w:t>
      </w:r>
      <w:proofErr w:type="gramEnd"/>
      <w:r w:rsidRPr="0011793E">
        <w:rPr>
          <w:u w:val="single"/>
        </w:rPr>
        <w:t xml:space="preserve"> </w:t>
      </w:r>
      <w:proofErr w:type="gramStart"/>
      <w:r w:rsidRPr="0011793E">
        <w:rPr>
          <w:u w:val="single"/>
        </w:rPr>
        <w:t>overheat</w:t>
      </w:r>
      <w:proofErr w:type="gramEnd"/>
      <w:r w:rsidR="00911115">
        <w:rPr>
          <w:u w:val="single"/>
        </w:rPr>
        <w:t>.</w:t>
      </w:r>
      <w:r w:rsidR="00E442E7">
        <w:t xml:space="preserve"> </w:t>
      </w:r>
      <w:r w:rsidRPr="0011793E">
        <w:t>High-temperature air leaks due to casing high-pressure/temperature air duct system malfunctions within the APU.</w:t>
      </w:r>
    </w:p>
    <w:p w14:paraId="5B5C45E3" w14:textId="611134C8" w:rsidR="00E266D0" w:rsidRDefault="00E266D0" w:rsidP="000855F2">
      <w:pPr>
        <w:pStyle w:val="Caption"/>
      </w:pPr>
      <w:r>
        <w:t>Table D-</w:t>
      </w:r>
      <w:r w:rsidR="00116369">
        <w:rPr>
          <w:noProof/>
        </w:rPr>
        <w:t>20</w:t>
      </w:r>
      <w:r>
        <w:t xml:space="preserve"> - APU Data</w:t>
      </w:r>
    </w:p>
    <w:p w14:paraId="07BD621A" w14:textId="77777777" w:rsidR="00D67FA8" w:rsidRDefault="00D67FA8" w:rsidP="00D67FA8">
      <w:pPr>
        <w:keepNext/>
        <w:jc w:val="center"/>
      </w:pPr>
      <w:r w:rsidRPr="00D67FA8">
        <w:rPr>
          <w:noProof/>
        </w:rPr>
        <w:drawing>
          <wp:inline distT="0" distB="0" distL="0" distR="0" wp14:anchorId="7B318FA5" wp14:editId="0C77CE91">
            <wp:extent cx="4134676" cy="3719513"/>
            <wp:effectExtent l="0" t="0" r="0" b="0"/>
            <wp:docPr id="2411" name="Picture 2411" descr="APU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 name="Picture 2411" descr="APU Chart"/>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36277" cy="3720953"/>
                    </a:xfrm>
                    <a:prstGeom prst="rect">
                      <a:avLst/>
                    </a:prstGeom>
                    <a:noFill/>
                    <a:ln>
                      <a:noFill/>
                    </a:ln>
                  </pic:spPr>
                </pic:pic>
              </a:graphicData>
            </a:graphic>
          </wp:inline>
        </w:drawing>
      </w:r>
    </w:p>
    <w:p w14:paraId="679FF2C1" w14:textId="5535D4CE" w:rsidR="00414552" w:rsidRPr="00EF59BD" w:rsidRDefault="00414552" w:rsidP="00414552">
      <w:pPr>
        <w:ind w:left="900"/>
        <w:rPr>
          <w:rStyle w:val="FootnoteReference"/>
        </w:rPr>
      </w:pPr>
      <w:r w:rsidRPr="00EF59BD">
        <w:rPr>
          <w:rStyle w:val="FootnoteReference"/>
        </w:rPr>
        <w:t xml:space="preserve">† The data </w:t>
      </w:r>
      <w:r w:rsidR="00D53BD5">
        <w:rPr>
          <w:rStyle w:val="FootnoteReference"/>
        </w:rPr>
        <w:t>i</w:t>
      </w:r>
      <w:r w:rsidR="00D53BD5" w:rsidRPr="0002195B">
        <w:rPr>
          <w:vertAlign w:val="superscript"/>
        </w:rPr>
        <w:t>s</w:t>
      </w:r>
      <w:r w:rsidR="00D53BD5" w:rsidRPr="00EF59BD">
        <w:rPr>
          <w:rStyle w:val="FootnoteReference"/>
        </w:rPr>
        <w:t xml:space="preserve"> </w:t>
      </w:r>
      <w:r w:rsidRPr="00EF59BD">
        <w:rPr>
          <w:rStyle w:val="FootnoteReference"/>
        </w:rPr>
        <w:t>combined here for convenience.</w:t>
      </w:r>
      <w:r w:rsidR="00E442E7">
        <w:rPr>
          <w:rStyle w:val="FootnoteReference"/>
        </w:rPr>
        <w:t xml:space="preserve"> </w:t>
      </w:r>
      <w:r w:rsidRPr="00EF59BD">
        <w:rPr>
          <w:rStyle w:val="FootnoteReference"/>
        </w:rPr>
        <w:t>The user should review the event descriptions and definitions in the CAAM reports for relevance to the particular issue being assessed.</w:t>
      </w:r>
    </w:p>
    <w:p w14:paraId="7E30B199" w14:textId="1B15BD97" w:rsidR="00414552" w:rsidRPr="00EF59BD" w:rsidRDefault="00414552" w:rsidP="00414552">
      <w:pPr>
        <w:ind w:left="900"/>
        <w:rPr>
          <w:rStyle w:val="FootnoteReference"/>
        </w:rPr>
      </w:pPr>
      <w:r w:rsidRPr="00EF59BD">
        <w:rPr>
          <w:rStyle w:val="FootnoteReference"/>
        </w:rPr>
        <w:t>‡ Data was only collected in either CAAM</w:t>
      </w:r>
      <w:r w:rsidR="007910B6">
        <w:t xml:space="preserve"> </w:t>
      </w:r>
      <w:r w:rsidRPr="00EF59BD">
        <w:rPr>
          <w:rStyle w:val="FootnoteReference"/>
        </w:rPr>
        <w:t>1 report or CAAM 2 report, not both.</w:t>
      </w:r>
      <w:r w:rsidR="00E442E7">
        <w:rPr>
          <w:rStyle w:val="FootnoteReference"/>
        </w:rPr>
        <w:t xml:space="preserve"> </w:t>
      </w:r>
      <w:r w:rsidRPr="00EF59BD">
        <w:rPr>
          <w:rStyle w:val="FootnoteReference"/>
        </w:rPr>
        <w:t>Not included in “Combined.”</w:t>
      </w:r>
    </w:p>
    <w:p w14:paraId="2D1A3278" w14:textId="1C802BE4" w:rsidR="00414552" w:rsidRPr="00EF59BD" w:rsidRDefault="00414552" w:rsidP="00414552">
      <w:pPr>
        <w:ind w:left="900"/>
        <w:rPr>
          <w:rStyle w:val="FootnoteReference"/>
        </w:rPr>
      </w:pPr>
      <w:r w:rsidRPr="00EF59BD">
        <w:rPr>
          <w:rStyle w:val="FootnoteReference"/>
          <w:rFonts w:ascii="Cambria Math" w:hAnsi="Cambria Math" w:cs="Cambria Math"/>
        </w:rPr>
        <w:t>⁰</w:t>
      </w:r>
      <w:r w:rsidRPr="00EF59BD">
        <w:rPr>
          <w:rStyle w:val="FootnoteReference"/>
        </w:rPr>
        <w:t xml:space="preserve"> No</w:t>
      </w:r>
      <w:r w:rsidR="00EF59BD" w:rsidRPr="00EF59BD">
        <w:rPr>
          <w:rStyle w:val="FootnoteReference"/>
        </w:rPr>
        <w:t xml:space="preserve"> APU data was collected in CAAM</w:t>
      </w:r>
      <w:r w:rsidR="007910B6">
        <w:t xml:space="preserve"> </w:t>
      </w:r>
      <w:r w:rsidRPr="00EF59BD">
        <w:rPr>
          <w:rStyle w:val="FootnoteReference"/>
        </w:rPr>
        <w:t>3 report.</w:t>
      </w:r>
    </w:p>
    <w:p w14:paraId="610EF10B" w14:textId="77777777" w:rsidR="00414552" w:rsidRPr="00EF59BD" w:rsidRDefault="00414552" w:rsidP="00414552">
      <w:pPr>
        <w:ind w:left="900"/>
        <w:rPr>
          <w:rStyle w:val="FootnoteReference"/>
        </w:rPr>
      </w:pPr>
      <w:r w:rsidRPr="00EF59BD">
        <w:rPr>
          <w:rStyle w:val="FootnoteReference"/>
          <w:rFonts w:ascii="Cambria Math" w:hAnsi="Cambria Math" w:cs="Cambria Math"/>
        </w:rPr>
        <w:t>ⁱ</w:t>
      </w:r>
      <w:r w:rsidRPr="00EF59BD">
        <w:rPr>
          <w:rStyle w:val="FootnoteReference"/>
        </w:rPr>
        <w:t xml:space="preserve"> Hazard ratios not calculated due </w:t>
      </w:r>
      <w:r w:rsidR="00784203">
        <w:rPr>
          <w:rStyle w:val="FootnoteReference"/>
        </w:rPr>
        <w:t>to</w:t>
      </w:r>
      <w:r w:rsidRPr="00EF59BD">
        <w:rPr>
          <w:rStyle w:val="FootnoteReference"/>
        </w:rPr>
        <w:t xml:space="preserve"> likely under-reporting of base events.</w:t>
      </w:r>
    </w:p>
    <w:p w14:paraId="15422FD4" w14:textId="77777777" w:rsidR="00414552" w:rsidRDefault="00414552" w:rsidP="00414552">
      <w:pPr>
        <w:pStyle w:val="Heading7"/>
      </w:pPr>
      <w:r>
        <w:lastRenderedPageBreak/>
        <w:t>FAILURE CONDITION: PROPULSION SYSTEM MALFUNCTION RECOGNITION AND RESPONSE (PSMRR).</w:t>
      </w:r>
    </w:p>
    <w:p w14:paraId="2731A305" w14:textId="2EE8928A" w:rsidR="00414552" w:rsidRDefault="00525F78" w:rsidP="003D4E32">
      <w:pPr>
        <w:pStyle w:val="Levels1-3-OneParagraphUnderHeading"/>
      </w:pPr>
      <w:r>
        <w:t>PSMRR is defined as a</w:t>
      </w:r>
      <w:r w:rsidR="00414552">
        <w:t xml:space="preserve"> </w:t>
      </w:r>
      <w:r w:rsidR="00343B99">
        <w:t>safety-</w:t>
      </w:r>
      <w:r w:rsidR="00414552">
        <w:t>significant event initiating from a single propulsion system malfunction</w:t>
      </w:r>
      <w:r w:rsidR="00EF59BD">
        <w:t>,</w:t>
      </w:r>
      <w:r w:rsidR="00414552" w:rsidRPr="00F30F19">
        <w:t xml:space="preserve"> excluding </w:t>
      </w:r>
      <w:r w:rsidR="004B2617">
        <w:t xml:space="preserve">the </w:t>
      </w:r>
      <w:r w:rsidR="00414552" w:rsidRPr="00F30F19">
        <w:t xml:space="preserve">propeller system, which, by itself, does not hazard the </w:t>
      </w:r>
      <w:r w:rsidR="003C7D31">
        <w:t>airplane</w:t>
      </w:r>
      <w:r w:rsidR="00414552" w:rsidRPr="00F30F19">
        <w:t xml:space="preserve">, but is compounded by </w:t>
      </w:r>
      <w:r w:rsidR="004B2617">
        <w:t xml:space="preserve">an </w:t>
      </w:r>
      <w:r w:rsidR="00414552" w:rsidRPr="00F30F19">
        <w:t>inappropriate crew response</w:t>
      </w:r>
      <w:r w:rsidR="00EF59BD">
        <w:t>.</w:t>
      </w:r>
      <w:r w:rsidR="00E442E7">
        <w:t xml:space="preserve"> </w:t>
      </w:r>
      <w:r w:rsidR="00EF59BD">
        <w:t>For example</w:t>
      </w:r>
      <w:r w:rsidR="00414552" w:rsidRPr="00F30F19">
        <w:t xml:space="preserve">, </w:t>
      </w:r>
      <w:r w:rsidR="004D0B11">
        <w:t xml:space="preserve">the </w:t>
      </w:r>
      <w:r w:rsidR="00414552" w:rsidRPr="00F30F19">
        <w:t xml:space="preserve">crew did not execute </w:t>
      </w:r>
      <w:r w:rsidR="000A6EAD">
        <w:t xml:space="preserve">their </w:t>
      </w:r>
      <w:r w:rsidR="00414552" w:rsidRPr="00B74E13">
        <w:t>checklist</w:t>
      </w:r>
      <w:r w:rsidR="000A6EAD" w:rsidRPr="00B74E13">
        <w:t xml:space="preserve"> during </w:t>
      </w:r>
      <w:r w:rsidR="00414552" w:rsidRPr="00F30F19">
        <w:t>normal flying duties.</w:t>
      </w:r>
      <w:r w:rsidR="00E442E7">
        <w:t xml:space="preserve"> </w:t>
      </w:r>
      <w:r w:rsidR="00414552" w:rsidRPr="00F30F19">
        <w:t xml:space="preserve">A typical example of PSMRR is an IFSD followed by inappropriate crew response that caused the </w:t>
      </w:r>
      <w:r w:rsidR="003C7D31">
        <w:t>airplane</w:t>
      </w:r>
      <w:r w:rsidR="003C7D31" w:rsidRPr="00F30F19">
        <w:t xml:space="preserve"> </w:t>
      </w:r>
      <w:r w:rsidR="00414552" w:rsidRPr="00F30F19">
        <w:t>to crash.</w:t>
      </w:r>
      <w:r w:rsidR="00E442E7">
        <w:t xml:space="preserve"> </w:t>
      </w:r>
      <w:r w:rsidR="00414552" w:rsidRPr="00F30F19">
        <w:t>Not counted are cases of gross error negligence</w:t>
      </w:r>
      <w:r w:rsidR="00EF59BD">
        <w:t>,</w:t>
      </w:r>
      <w:r w:rsidR="00414552" w:rsidRPr="00F30F19">
        <w:t xml:space="preserve"> such as deciding to take off with an engine known to be inoperative.</w:t>
      </w:r>
      <w:r w:rsidR="00E442E7">
        <w:t xml:space="preserve"> </w:t>
      </w:r>
      <w:r w:rsidR="00414552" w:rsidRPr="00F30F19">
        <w:t xml:space="preserve">See the </w:t>
      </w:r>
      <w:r w:rsidR="00414552" w:rsidRPr="00352468">
        <w:t xml:space="preserve">AIA and AECMA Project Report on Propulsion System Malfunction </w:t>
      </w:r>
      <w:proofErr w:type="gramStart"/>
      <w:r w:rsidR="00414552" w:rsidRPr="00352468">
        <w:t>plus</w:t>
      </w:r>
      <w:proofErr w:type="gramEnd"/>
      <w:r w:rsidR="00414552" w:rsidRPr="00352468">
        <w:t xml:space="preserve"> Inappropriate Crew Response (PSM+ICR)</w:t>
      </w:r>
      <w:r w:rsidR="00414552" w:rsidRPr="00F30F19">
        <w:t xml:space="preserve">, dated </w:t>
      </w:r>
      <w:r w:rsidR="0062629F" w:rsidRPr="00F30F19">
        <w:t>November</w:t>
      </w:r>
      <w:r w:rsidR="00414552" w:rsidRPr="00F30F19">
        <w:t xml:space="preserve"> 1998, for additional examples.</w:t>
      </w:r>
      <w:r w:rsidR="00E442E7">
        <w:t xml:space="preserve"> </w:t>
      </w:r>
      <w:r w:rsidR="001A0312">
        <w:t>Note that t</w:t>
      </w:r>
      <w:r>
        <w:t xml:space="preserve">his </w:t>
      </w:r>
      <w:r w:rsidR="00F1402B">
        <w:t>condition</w:t>
      </w:r>
      <w:r>
        <w:t xml:space="preserve"> has previously been referred to as PSM+ICR.</w:t>
      </w:r>
    </w:p>
    <w:p w14:paraId="66C7F7AA" w14:textId="42C5888C" w:rsidR="00965E89" w:rsidRPr="00414552" w:rsidRDefault="00965E89" w:rsidP="000855F2">
      <w:pPr>
        <w:pStyle w:val="Caption"/>
      </w:pPr>
      <w:r>
        <w:t>Table D-</w:t>
      </w:r>
      <w:r>
        <w:rPr>
          <w:noProof/>
        </w:rPr>
        <w:fldChar w:fldCharType="begin"/>
      </w:r>
      <w:r>
        <w:rPr>
          <w:noProof/>
        </w:rPr>
        <w:instrText xml:space="preserve"> SEQ Table \* ARABIC </w:instrText>
      </w:r>
      <w:r>
        <w:rPr>
          <w:noProof/>
        </w:rPr>
        <w:fldChar w:fldCharType="separate"/>
      </w:r>
      <w:r w:rsidR="00116369">
        <w:rPr>
          <w:noProof/>
        </w:rPr>
        <w:t>21</w:t>
      </w:r>
      <w:r>
        <w:rPr>
          <w:noProof/>
        </w:rPr>
        <w:fldChar w:fldCharType="end"/>
      </w:r>
      <w:r w:rsidRPr="00B210ED">
        <w:t xml:space="preserve"> - Propulsion System Malfunction Recognition and Response Data</w:t>
      </w:r>
    </w:p>
    <w:p w14:paraId="7B16FA78" w14:textId="77777777" w:rsidR="00D44203" w:rsidRDefault="00D44203" w:rsidP="00D44203">
      <w:pPr>
        <w:pStyle w:val="Levels1-3-OneParagraphUnderHeading"/>
        <w:keepNext/>
        <w:jc w:val="center"/>
      </w:pPr>
      <w:r w:rsidRPr="00D44203">
        <w:rPr>
          <w:noProof/>
        </w:rPr>
        <w:drawing>
          <wp:inline distT="0" distB="0" distL="0" distR="0" wp14:anchorId="128BDA04" wp14:editId="0160E9BD">
            <wp:extent cx="3657600" cy="3648479"/>
            <wp:effectExtent l="0" t="0" r="0" b="9525"/>
            <wp:docPr id="2412" name="Picture 2412" descr="PSM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Picture 2412" descr="PSMR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57600" cy="3648479"/>
                    </a:xfrm>
                    <a:prstGeom prst="rect">
                      <a:avLst/>
                    </a:prstGeom>
                    <a:noFill/>
                    <a:ln>
                      <a:noFill/>
                    </a:ln>
                  </pic:spPr>
                </pic:pic>
              </a:graphicData>
            </a:graphic>
          </wp:inline>
        </w:drawing>
      </w:r>
    </w:p>
    <w:p w14:paraId="2EEF0C95" w14:textId="6053E303" w:rsidR="00525F78" w:rsidRPr="00525F78" w:rsidRDefault="00525F78" w:rsidP="00525F78">
      <w:pPr>
        <w:ind w:left="900"/>
        <w:rPr>
          <w:rStyle w:val="FootnoteReference"/>
        </w:rPr>
      </w:pPr>
      <w:r w:rsidRPr="00525F78">
        <w:rPr>
          <w:rStyle w:val="FootnoteReference"/>
        </w:rPr>
        <w:t xml:space="preserve">† The data </w:t>
      </w:r>
      <w:r w:rsidR="00D53BD5">
        <w:rPr>
          <w:rStyle w:val="FootnoteReference"/>
        </w:rPr>
        <w:t>i</w:t>
      </w:r>
      <w:r w:rsidR="00D53BD5" w:rsidRPr="0002195B">
        <w:rPr>
          <w:vertAlign w:val="superscript"/>
        </w:rPr>
        <w:t>s</w:t>
      </w:r>
      <w:r w:rsidR="00D53BD5" w:rsidRPr="00525F78">
        <w:rPr>
          <w:rStyle w:val="FootnoteReference"/>
        </w:rPr>
        <w:t xml:space="preserve"> </w:t>
      </w:r>
      <w:r w:rsidRPr="00525F78">
        <w:rPr>
          <w:rStyle w:val="FootnoteReference"/>
        </w:rPr>
        <w:t>combined here for convenience.</w:t>
      </w:r>
      <w:r w:rsidR="00E442E7">
        <w:rPr>
          <w:rStyle w:val="FootnoteReference"/>
        </w:rPr>
        <w:t xml:space="preserve"> </w:t>
      </w:r>
      <w:r w:rsidRPr="00525F78">
        <w:rPr>
          <w:rStyle w:val="FootnoteReference"/>
        </w:rPr>
        <w:t>The user should review the event descriptions and definitions in the CAAM reports for relevance to the particular issue being assessed.</w:t>
      </w:r>
    </w:p>
    <w:p w14:paraId="23C27105" w14:textId="77777777" w:rsidR="00525F78" w:rsidRDefault="00525F78" w:rsidP="00525F78">
      <w:pPr>
        <w:ind w:left="900"/>
      </w:pPr>
      <w:r w:rsidRPr="00525F78">
        <w:rPr>
          <w:rStyle w:val="FootnoteReference"/>
        </w:rPr>
        <w:t>‡ Due to the lack of data and likely under-reporting of base events, hazard ratios are not calculated.</w:t>
      </w:r>
    </w:p>
    <w:p w14:paraId="75768BD4" w14:textId="77777777" w:rsidR="0068466F" w:rsidRDefault="0068466F">
      <w:pPr>
        <w:rPr>
          <w:b/>
          <w:iCs/>
          <w:caps/>
        </w:rPr>
      </w:pPr>
      <w:r>
        <w:br w:type="page"/>
      </w:r>
    </w:p>
    <w:p w14:paraId="5FDF3B00" w14:textId="77777777" w:rsidR="00525F78" w:rsidRDefault="00525F78" w:rsidP="00525F78">
      <w:pPr>
        <w:pStyle w:val="Heading7"/>
      </w:pPr>
      <w:r>
        <w:lastRenderedPageBreak/>
        <w:t>FAILURE CONDITION: CREW ERROR.</w:t>
      </w:r>
    </w:p>
    <w:p w14:paraId="11E759ED" w14:textId="08C14486" w:rsidR="00525F78" w:rsidRDefault="00525F78" w:rsidP="00525F78">
      <w:pPr>
        <w:pStyle w:val="Levels1-3-OneParagraphUnderHeading"/>
      </w:pPr>
      <w:r>
        <w:t>A crew error is defined as a</w:t>
      </w:r>
      <w:r w:rsidRPr="00F30F19">
        <w:t xml:space="preserve"> significant safety event caused by a propulsion system malfunction or improper operation that was caused by an inappropriate crew action, excluding sabotage, gross negligence</w:t>
      </w:r>
      <w:r w:rsidR="00FC4C69">
        <w:t>,</w:t>
      </w:r>
      <w:r w:rsidRPr="00F30F19">
        <w:t xml:space="preserve"> and suicide.</w:t>
      </w:r>
      <w:r w:rsidR="00E442E7">
        <w:t xml:space="preserve"> </w:t>
      </w:r>
      <w:r w:rsidRPr="00F30F19">
        <w:t xml:space="preserve">Not </w:t>
      </w:r>
      <w:r w:rsidR="001A0312">
        <w:t>included</w:t>
      </w:r>
      <w:r w:rsidRPr="00F30F19">
        <w:t xml:space="preserve"> are events where inappropriate crew action causes a propulsion system malfunction through very indirect means such as flying the airplane into the ground or running the airplane into equipment on the taxiway/runway.</w:t>
      </w:r>
    </w:p>
    <w:p w14:paraId="4DE96C28" w14:textId="23768520" w:rsidR="00026436" w:rsidRDefault="00026436" w:rsidP="000855F2">
      <w:pPr>
        <w:pStyle w:val="Caption"/>
      </w:pPr>
      <w:r>
        <w:t>Table D-</w:t>
      </w:r>
      <w:r w:rsidR="00116369">
        <w:rPr>
          <w:noProof/>
        </w:rPr>
        <w:t>22</w:t>
      </w:r>
      <w:r>
        <w:t xml:space="preserve"> - Crew Error Data</w:t>
      </w:r>
    </w:p>
    <w:p w14:paraId="6752C7C0" w14:textId="77777777" w:rsidR="00D44203" w:rsidRDefault="00D44203" w:rsidP="00D44203">
      <w:pPr>
        <w:pStyle w:val="Levels1-3-OneParagraphUnderHeading"/>
        <w:keepNext/>
        <w:jc w:val="center"/>
      </w:pPr>
      <w:r w:rsidRPr="00D44203">
        <w:rPr>
          <w:noProof/>
        </w:rPr>
        <w:drawing>
          <wp:inline distT="0" distB="0" distL="0" distR="0" wp14:anchorId="60BC4339" wp14:editId="3E7261C4">
            <wp:extent cx="3657600" cy="3648479"/>
            <wp:effectExtent l="0" t="0" r="0" b="9525"/>
            <wp:docPr id="2413" name="Picture 2413" descr="Crew Err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 name="Picture 2413" descr="Crew Error Chart"/>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0" cy="3648479"/>
                    </a:xfrm>
                    <a:prstGeom prst="rect">
                      <a:avLst/>
                    </a:prstGeom>
                    <a:noFill/>
                    <a:ln>
                      <a:noFill/>
                    </a:ln>
                  </pic:spPr>
                </pic:pic>
              </a:graphicData>
            </a:graphic>
          </wp:inline>
        </w:drawing>
      </w:r>
    </w:p>
    <w:p w14:paraId="6217F73A" w14:textId="17A8BC48" w:rsidR="00525F78" w:rsidRPr="00525F78" w:rsidRDefault="00525F78" w:rsidP="00525F78">
      <w:pPr>
        <w:ind w:left="900"/>
        <w:rPr>
          <w:rStyle w:val="FootnoteReference"/>
        </w:rPr>
      </w:pPr>
      <w:r w:rsidRPr="00525F78">
        <w:rPr>
          <w:rStyle w:val="FootnoteReference"/>
        </w:rPr>
        <w:t xml:space="preserve">† The data </w:t>
      </w:r>
      <w:r w:rsidR="00D53BD5">
        <w:rPr>
          <w:rStyle w:val="FootnoteReference"/>
        </w:rPr>
        <w:t>i</w:t>
      </w:r>
      <w:r w:rsidR="00D53BD5" w:rsidRPr="0002195B">
        <w:rPr>
          <w:vertAlign w:val="superscript"/>
        </w:rPr>
        <w:t>s</w:t>
      </w:r>
      <w:r w:rsidR="00D53BD5" w:rsidRPr="00525F78">
        <w:rPr>
          <w:rStyle w:val="FootnoteReference"/>
        </w:rPr>
        <w:t xml:space="preserve"> </w:t>
      </w:r>
      <w:r w:rsidRPr="00525F78">
        <w:rPr>
          <w:rStyle w:val="FootnoteReference"/>
        </w:rPr>
        <w:t>combined here for convenience.</w:t>
      </w:r>
      <w:r w:rsidR="00E442E7">
        <w:rPr>
          <w:rStyle w:val="FootnoteReference"/>
        </w:rPr>
        <w:t xml:space="preserve"> </w:t>
      </w:r>
      <w:r w:rsidRPr="00525F78">
        <w:rPr>
          <w:rStyle w:val="FootnoteReference"/>
        </w:rPr>
        <w:t>The user should review the event descriptions and definitions in the CAAM reports for relevance to the particular issue being assessed.</w:t>
      </w:r>
    </w:p>
    <w:p w14:paraId="4C74489B" w14:textId="77777777" w:rsidR="00525F78" w:rsidRDefault="00525F78" w:rsidP="00525F78">
      <w:pPr>
        <w:ind w:left="900"/>
      </w:pPr>
      <w:r w:rsidRPr="00525F78">
        <w:rPr>
          <w:rStyle w:val="FootnoteReference"/>
        </w:rPr>
        <w:t>‡ Due to the lack of data and likely under-reporting of base events, hazard ratios are not calculated.</w:t>
      </w:r>
    </w:p>
    <w:p w14:paraId="241248AA" w14:textId="77777777" w:rsidR="0068466F" w:rsidRDefault="0068466F">
      <w:pPr>
        <w:rPr>
          <w:b/>
          <w:iCs/>
          <w:caps/>
        </w:rPr>
      </w:pPr>
      <w:r>
        <w:br w:type="page"/>
      </w:r>
    </w:p>
    <w:p w14:paraId="6C7A59E0" w14:textId="77777777" w:rsidR="00525F78" w:rsidRDefault="00525F78" w:rsidP="00525F78">
      <w:pPr>
        <w:pStyle w:val="Heading7"/>
      </w:pPr>
      <w:r w:rsidRPr="00F30F19">
        <w:lastRenderedPageBreak/>
        <w:t>PREVIOUSLY REPORTED HAZARDS</w:t>
      </w:r>
      <w:r>
        <w:t xml:space="preserve"> NOT INCLUDED.</w:t>
      </w:r>
    </w:p>
    <w:p w14:paraId="2CD6E874" w14:textId="4100A0E0" w:rsidR="00AF2357" w:rsidRDefault="00AF2357" w:rsidP="0062629F">
      <w:pPr>
        <w:pStyle w:val="Levels1-3-Note"/>
        <w:numPr>
          <w:ilvl w:val="0"/>
          <w:numId w:val="0"/>
        </w:numPr>
        <w:ind w:left="864"/>
      </w:pPr>
      <w:r>
        <w:t xml:space="preserve">Not all potential hazards that </w:t>
      </w:r>
      <w:r w:rsidR="003809E6">
        <w:t>the FAA</w:t>
      </w:r>
      <w:r>
        <w:t xml:space="preserve"> identified in the prior version of this AC were included for the reasons identified below.</w:t>
      </w:r>
      <w:r w:rsidR="00E442E7">
        <w:t xml:space="preserve"> </w:t>
      </w:r>
      <w:r>
        <w:t xml:space="preserve">You may contact the </w:t>
      </w:r>
      <w:r w:rsidR="00105D40">
        <w:t>FAA</w:t>
      </w:r>
      <w:r>
        <w:t xml:space="preserve"> for additional information</w:t>
      </w:r>
      <w:r w:rsidR="000B3E16">
        <w:t xml:space="preserve"> on developing hazard ratios in these cases</w:t>
      </w:r>
      <w:r>
        <w:t>.</w:t>
      </w:r>
    </w:p>
    <w:p w14:paraId="4BA06A34" w14:textId="790A835C" w:rsidR="00525F78" w:rsidRDefault="00525F78" w:rsidP="00525F78">
      <w:pPr>
        <w:pStyle w:val="Heading8"/>
      </w:pPr>
      <w:r>
        <w:t xml:space="preserve">The following potential hazards were previously identified and may have resulted in a limited number of </w:t>
      </w:r>
      <w:r w:rsidR="0014326B">
        <w:t>HL</w:t>
      </w:r>
      <w:r>
        <w:t xml:space="preserve"> 3, 4, or 5 events</w:t>
      </w:r>
      <w:r w:rsidR="00EF59BD">
        <w:t>,</w:t>
      </w:r>
      <w:r>
        <w:t xml:space="preserve"> but were found to have low hazard ratios</w:t>
      </w:r>
      <w:r w:rsidR="00FC4C69">
        <w:t xml:space="preserve"> </w:t>
      </w:r>
      <w:r>
        <w:t xml:space="preserve">or hazard ratios calculated </w:t>
      </w:r>
      <w:r w:rsidR="00FC4C69">
        <w:t>based on</w:t>
      </w:r>
      <w:r>
        <w:t xml:space="preserve"> significant under-reporting of the base events:</w:t>
      </w:r>
    </w:p>
    <w:p w14:paraId="64173257" w14:textId="77777777" w:rsidR="00525F78" w:rsidRDefault="00525F78" w:rsidP="00525F78">
      <w:pPr>
        <w:pStyle w:val="Levels1-3-Bullet"/>
      </w:pPr>
      <w:r>
        <w:t xml:space="preserve">Contained </w:t>
      </w:r>
      <w:r w:rsidR="003D4E32">
        <w:t xml:space="preserve">engine </w:t>
      </w:r>
      <w:r>
        <w:t xml:space="preserve">or APU </w:t>
      </w:r>
      <w:r w:rsidR="003D4E32">
        <w:t xml:space="preserve">rotor </w:t>
      </w:r>
      <w:proofErr w:type="gramStart"/>
      <w:r w:rsidR="003D4E32">
        <w:t>failure</w:t>
      </w:r>
      <w:r w:rsidR="002C6991">
        <w:t>;</w:t>
      </w:r>
      <w:proofErr w:type="gramEnd"/>
    </w:p>
    <w:p w14:paraId="68F3318F" w14:textId="77777777" w:rsidR="00525F78" w:rsidRDefault="00525F78" w:rsidP="00525F78">
      <w:pPr>
        <w:pStyle w:val="Levels1-3-Bullet"/>
      </w:pPr>
      <w:r>
        <w:t xml:space="preserve">Asymmetric </w:t>
      </w:r>
      <w:r w:rsidR="003D4E32">
        <w:t xml:space="preserve">thrust </w:t>
      </w:r>
      <w:r>
        <w:t xml:space="preserve">– </w:t>
      </w:r>
      <w:r w:rsidR="003D4E32">
        <w:t xml:space="preserve">throttle </w:t>
      </w:r>
      <w:proofErr w:type="gramStart"/>
      <w:r w:rsidR="003D4E32">
        <w:t>split</w:t>
      </w:r>
      <w:r w:rsidR="002C6991">
        <w:t>;</w:t>
      </w:r>
      <w:proofErr w:type="gramEnd"/>
    </w:p>
    <w:p w14:paraId="54C121C0" w14:textId="77777777" w:rsidR="00525F78" w:rsidRDefault="00525F78" w:rsidP="00525F78">
      <w:pPr>
        <w:pStyle w:val="Levels1-3-Bullet"/>
      </w:pPr>
      <w:r>
        <w:t xml:space="preserve">Asymmetric </w:t>
      </w:r>
      <w:r w:rsidR="003D4E32">
        <w:t xml:space="preserve">thrust </w:t>
      </w:r>
      <w:r>
        <w:t xml:space="preserve">– single engine reverser non-deployment/no beta on </w:t>
      </w:r>
      <w:proofErr w:type="gramStart"/>
      <w:r>
        <w:t>landing</w:t>
      </w:r>
      <w:r w:rsidR="002C6991">
        <w:t>;</w:t>
      </w:r>
      <w:proofErr w:type="gramEnd"/>
    </w:p>
    <w:p w14:paraId="1038A4AF" w14:textId="77777777" w:rsidR="00525F78" w:rsidRDefault="00525F78" w:rsidP="00525F78">
      <w:pPr>
        <w:pStyle w:val="Levels1-3-Bullet"/>
      </w:pPr>
      <w:r>
        <w:t xml:space="preserve">Single </w:t>
      </w:r>
      <w:r w:rsidR="003D4E32">
        <w:t xml:space="preserve">engine </w:t>
      </w:r>
      <w:r>
        <w:t>IFSD/</w:t>
      </w:r>
      <w:r w:rsidR="003D4E32">
        <w:t xml:space="preserve">power </w:t>
      </w:r>
      <w:proofErr w:type="gramStart"/>
      <w:r w:rsidR="003D4E32">
        <w:t>loss</w:t>
      </w:r>
      <w:r w:rsidR="002C6991">
        <w:t>;</w:t>
      </w:r>
      <w:proofErr w:type="gramEnd"/>
    </w:p>
    <w:p w14:paraId="6812908F" w14:textId="77777777" w:rsidR="00525F78" w:rsidRDefault="00525F78" w:rsidP="00525F78">
      <w:pPr>
        <w:pStyle w:val="Levels1-3-Bullet"/>
      </w:pPr>
      <w:proofErr w:type="gramStart"/>
      <w:r>
        <w:t>Overthrust</w:t>
      </w:r>
      <w:r w:rsidR="002C6991">
        <w:t>;</w:t>
      </w:r>
      <w:proofErr w:type="gramEnd"/>
    </w:p>
    <w:p w14:paraId="2B40A6A0" w14:textId="77777777" w:rsidR="00525F78" w:rsidRDefault="00525F78" w:rsidP="00525F78">
      <w:pPr>
        <w:pStyle w:val="Levels1-3-Bullet"/>
      </w:pPr>
      <w:r>
        <w:t xml:space="preserve">Engine or APU </w:t>
      </w:r>
      <w:proofErr w:type="gramStart"/>
      <w:r w:rsidR="003D4E32">
        <w:t>overspeed</w:t>
      </w:r>
      <w:r w:rsidR="002C6991">
        <w:t>;</w:t>
      </w:r>
      <w:proofErr w:type="gramEnd"/>
    </w:p>
    <w:p w14:paraId="6A451872" w14:textId="77777777" w:rsidR="00525F78" w:rsidRDefault="00525F78" w:rsidP="00525F78">
      <w:pPr>
        <w:pStyle w:val="Levels1-3-Bullet"/>
      </w:pPr>
      <w:r>
        <w:t xml:space="preserve">Hazardously </w:t>
      </w:r>
      <w:r w:rsidR="003D4E32">
        <w:t xml:space="preserve">misleading powerplant </w:t>
      </w:r>
      <w:r>
        <w:t xml:space="preserve">or APU </w:t>
      </w:r>
      <w:proofErr w:type="gramStart"/>
      <w:r w:rsidR="003D4E32">
        <w:t>indications</w:t>
      </w:r>
      <w:r w:rsidR="002C6991">
        <w:t>;</w:t>
      </w:r>
      <w:proofErr w:type="gramEnd"/>
    </w:p>
    <w:p w14:paraId="77C7C2D3" w14:textId="77777777" w:rsidR="00525F78" w:rsidRDefault="00525F78" w:rsidP="00525F78">
      <w:pPr>
        <w:pStyle w:val="Levels1-3-Bullet"/>
      </w:pPr>
      <w:r>
        <w:t xml:space="preserve">Loss of </w:t>
      </w:r>
      <w:r w:rsidR="003D4E32">
        <w:t>i</w:t>
      </w:r>
      <w:r>
        <w:t xml:space="preserve">nflight </w:t>
      </w:r>
      <w:r w:rsidR="003D4E32">
        <w:t xml:space="preserve">restart capability </w:t>
      </w:r>
      <w:r>
        <w:t xml:space="preserve">on </w:t>
      </w:r>
      <w:r w:rsidR="00FC4C69">
        <w:t xml:space="preserve">a </w:t>
      </w:r>
      <w:r w:rsidR="003D4E32">
        <w:t xml:space="preserve">critical number </w:t>
      </w:r>
      <w:r>
        <w:t xml:space="preserve">of </w:t>
      </w:r>
      <w:proofErr w:type="gramStart"/>
      <w:r w:rsidR="003D4E32">
        <w:t>engines</w:t>
      </w:r>
      <w:r w:rsidR="002C6991">
        <w:t>;</w:t>
      </w:r>
      <w:proofErr w:type="gramEnd"/>
    </w:p>
    <w:p w14:paraId="458A0AB1" w14:textId="77777777" w:rsidR="00525F78" w:rsidRDefault="00525F78" w:rsidP="00525F78">
      <w:pPr>
        <w:pStyle w:val="Levels1-3-Bullet"/>
      </w:pPr>
      <w:r>
        <w:t xml:space="preserve">Excessive </w:t>
      </w:r>
      <w:r w:rsidR="003D4E32">
        <w:t>fuel t</w:t>
      </w:r>
      <w:r>
        <w:t xml:space="preserve">ank </w:t>
      </w:r>
      <w:r w:rsidR="003D4E32">
        <w:t>d</w:t>
      </w:r>
      <w:r>
        <w:t xml:space="preserve">ifferential </w:t>
      </w:r>
      <w:proofErr w:type="gramStart"/>
      <w:r w:rsidR="003D4E32">
        <w:t>p</w:t>
      </w:r>
      <w:r>
        <w:t>ressures</w:t>
      </w:r>
      <w:r w:rsidR="002C6991">
        <w:t>;</w:t>
      </w:r>
      <w:proofErr w:type="gramEnd"/>
    </w:p>
    <w:p w14:paraId="5BC913D2" w14:textId="77777777" w:rsidR="00525F78" w:rsidRDefault="00525F78" w:rsidP="00525F78">
      <w:pPr>
        <w:pStyle w:val="Levels1-3-Bullet"/>
      </w:pPr>
      <w:r>
        <w:t xml:space="preserve">Flammable </w:t>
      </w:r>
      <w:r w:rsidR="003D4E32">
        <w:t>f</w:t>
      </w:r>
      <w:r>
        <w:t xml:space="preserve">luid </w:t>
      </w:r>
      <w:r w:rsidR="003D4E32">
        <w:t>l</w:t>
      </w:r>
      <w:r>
        <w:t xml:space="preserve">eakage – </w:t>
      </w:r>
      <w:r w:rsidR="003D4E32">
        <w:t>o</w:t>
      </w:r>
      <w:r>
        <w:t>il/hydraulic</w:t>
      </w:r>
      <w:r w:rsidR="002C6991">
        <w:t>;</w:t>
      </w:r>
      <w:r w:rsidR="003D4E32">
        <w:t xml:space="preserve"> and</w:t>
      </w:r>
    </w:p>
    <w:p w14:paraId="4C0A523B" w14:textId="77777777" w:rsidR="00525F78" w:rsidRDefault="00525F78" w:rsidP="00525F78">
      <w:pPr>
        <w:pStyle w:val="Levels1-3-Bullet"/>
      </w:pPr>
      <w:r>
        <w:t xml:space="preserve">Smoke or </w:t>
      </w:r>
      <w:r w:rsidR="003D4E32">
        <w:t>t</w:t>
      </w:r>
      <w:r>
        <w:t xml:space="preserve">oxic </w:t>
      </w:r>
      <w:r w:rsidR="003D4E32">
        <w:t>p</w:t>
      </w:r>
      <w:r>
        <w:t xml:space="preserve">roducts in the </w:t>
      </w:r>
      <w:r w:rsidR="003D4E32">
        <w:t>c</w:t>
      </w:r>
      <w:r>
        <w:t>abin</w:t>
      </w:r>
      <w:r w:rsidR="003D4E32">
        <w:t>.</w:t>
      </w:r>
    </w:p>
    <w:p w14:paraId="43016D56" w14:textId="3B246A6D" w:rsidR="00525F78" w:rsidRDefault="00525F78" w:rsidP="00525F78">
      <w:pPr>
        <w:pStyle w:val="Heading8"/>
      </w:pPr>
      <w:r>
        <w:t>The following potential hazards were previously identified but either had no data collected, or did not result in any</w:t>
      </w:r>
      <w:r w:rsidR="00D66297">
        <w:t xml:space="preserve"> </w:t>
      </w:r>
      <w:r w:rsidR="0014326B">
        <w:t>HL</w:t>
      </w:r>
      <w:r>
        <w:t xml:space="preserve"> 3, 4, or 5 events over the reporting period</w:t>
      </w:r>
      <w:r w:rsidR="00A36AD7">
        <w:t>s</w:t>
      </w:r>
      <w:r>
        <w:t>:</w:t>
      </w:r>
    </w:p>
    <w:p w14:paraId="28CC5628" w14:textId="77777777" w:rsidR="00525F78" w:rsidRPr="009A45DB" w:rsidRDefault="00525F78" w:rsidP="00525F78">
      <w:pPr>
        <w:pStyle w:val="Levels1-3-Bullet"/>
      </w:pPr>
      <w:r>
        <w:t xml:space="preserve">Nacelle, </w:t>
      </w:r>
      <w:r w:rsidR="003D4E32">
        <w:t>p</w:t>
      </w:r>
      <w:r>
        <w:t xml:space="preserve">ylon, or APU </w:t>
      </w:r>
      <w:r w:rsidR="003D4E32">
        <w:t xml:space="preserve">compartment </w:t>
      </w:r>
      <w:r>
        <w:t>“</w:t>
      </w:r>
      <w:r w:rsidR="003D4E32">
        <w:t>overheat</w:t>
      </w:r>
      <w:r w:rsidR="002C6991">
        <w:t>;</w:t>
      </w:r>
      <w:r>
        <w:t>”</w:t>
      </w:r>
    </w:p>
    <w:p w14:paraId="4212152C" w14:textId="77777777" w:rsidR="00525F78" w:rsidRDefault="00525F78" w:rsidP="00525F78">
      <w:pPr>
        <w:pStyle w:val="Levels1-3-Bullet"/>
      </w:pPr>
      <w:r>
        <w:t xml:space="preserve">Engine or APU </w:t>
      </w:r>
      <w:r w:rsidR="003D4E32">
        <w:t xml:space="preserve">exhaust gas </w:t>
      </w:r>
      <w:proofErr w:type="gramStart"/>
      <w:r w:rsidR="003D4E32">
        <w:t>i</w:t>
      </w:r>
      <w:r>
        <w:t>mpingement</w:t>
      </w:r>
      <w:r w:rsidR="002C6991">
        <w:t>;</w:t>
      </w:r>
      <w:proofErr w:type="gramEnd"/>
    </w:p>
    <w:p w14:paraId="4AC30E41" w14:textId="77777777" w:rsidR="00525F78" w:rsidRDefault="00525F78" w:rsidP="00525F78">
      <w:pPr>
        <w:pStyle w:val="Levels1-3-Bullet"/>
      </w:pPr>
      <w:r>
        <w:t xml:space="preserve">Multiple </w:t>
      </w:r>
      <w:r w:rsidR="003D4E32">
        <w:t>e</w:t>
      </w:r>
      <w:r>
        <w:t>ngine</w:t>
      </w:r>
      <w:r w:rsidR="00FC4C69">
        <w:t>s</w:t>
      </w:r>
      <w:r>
        <w:t xml:space="preserve"> </w:t>
      </w:r>
      <w:r w:rsidR="003D4E32">
        <w:t>s</w:t>
      </w:r>
      <w:r>
        <w:t xml:space="preserve">mall </w:t>
      </w:r>
      <w:r w:rsidR="003D4E32">
        <w:t>u</w:t>
      </w:r>
      <w:r>
        <w:t xml:space="preserve">ndetected </w:t>
      </w:r>
      <w:r w:rsidR="003D4E32">
        <w:t>t</w:t>
      </w:r>
      <w:r>
        <w:t xml:space="preserve">hrust </w:t>
      </w:r>
      <w:r w:rsidR="003D4E32">
        <w:t>l</w:t>
      </w:r>
      <w:r>
        <w:t>oss</w:t>
      </w:r>
      <w:r w:rsidR="002C6991">
        <w:t>;</w:t>
      </w:r>
      <w:r w:rsidR="003D4E32">
        <w:t xml:space="preserve"> and</w:t>
      </w:r>
    </w:p>
    <w:p w14:paraId="3806A237" w14:textId="77777777" w:rsidR="00FC5630" w:rsidRDefault="00525F78" w:rsidP="00525F78">
      <w:pPr>
        <w:pStyle w:val="Levels1-3-Bullet"/>
        <w:sectPr w:rsidR="00FC5630" w:rsidSect="00DB248F">
          <w:headerReference w:type="even" r:id="rId65"/>
          <w:headerReference w:type="default" r:id="rId66"/>
          <w:headerReference w:type="first" r:id="rId67"/>
          <w:pgSz w:w="12240" w:h="15840"/>
          <w:pgMar w:top="1440" w:right="1350" w:bottom="810" w:left="1440" w:header="720" w:footer="444" w:gutter="0"/>
          <w:pgNumType w:start="1" w:chapStyle="6"/>
          <w:cols w:space="720"/>
          <w:docGrid w:linePitch="326"/>
        </w:sectPr>
      </w:pPr>
      <w:r>
        <w:t xml:space="preserve">Fuel </w:t>
      </w:r>
      <w:r w:rsidR="003D4E32">
        <w:t>l</w:t>
      </w:r>
      <w:r>
        <w:t xml:space="preserve">oad </w:t>
      </w:r>
      <w:r w:rsidR="003D4E32">
        <w:t>i</w:t>
      </w:r>
      <w:r>
        <w:t>mbalance</w:t>
      </w:r>
      <w:r w:rsidR="00FC5630">
        <w:t>.</w:t>
      </w:r>
    </w:p>
    <w:p w14:paraId="7189E035" w14:textId="77777777" w:rsidR="00762C96" w:rsidRDefault="00762C96" w:rsidP="002A3591">
      <w:pPr>
        <w:pStyle w:val="Heading6"/>
      </w:pPr>
      <w:r>
        <w:lastRenderedPageBreak/>
        <w:t xml:space="preserve">Risk Assessment </w:t>
      </w:r>
      <w:r w:rsidR="00FD65E4">
        <w:t>Example</w:t>
      </w:r>
    </w:p>
    <w:p w14:paraId="516B555A" w14:textId="77777777" w:rsidR="00762C96" w:rsidRPr="00762C96" w:rsidRDefault="00762C96" w:rsidP="00762C96">
      <w:pPr>
        <w:pStyle w:val="Heading7"/>
      </w:pPr>
      <w:r>
        <w:t>PURPOSE.</w:t>
      </w:r>
    </w:p>
    <w:p w14:paraId="1DB64087" w14:textId="77777777" w:rsidR="009307C5" w:rsidRDefault="00762C96" w:rsidP="00762C96">
      <w:pPr>
        <w:pStyle w:val="Levels1-3-OneParagraphUnderHeading"/>
      </w:pPr>
      <w:r>
        <w:t xml:space="preserve">The objective of this appendix is to provide a detailed step-by-step example of the </w:t>
      </w:r>
      <w:r w:rsidRPr="003809E6">
        <w:t>risk assessment process</w:t>
      </w:r>
      <w:r>
        <w:t xml:space="preserve"> detailed in this AC, taking the reader through a typical fictitious service problem scenario from identification to resolution.</w:t>
      </w:r>
    </w:p>
    <w:p w14:paraId="73D644EB" w14:textId="77777777" w:rsidR="009307C5" w:rsidRDefault="00E648BB" w:rsidP="003D4E32">
      <w:pPr>
        <w:pStyle w:val="Heading7"/>
      </w:pPr>
      <w:r>
        <w:t xml:space="preserve">Example - </w:t>
      </w:r>
      <w:r w:rsidR="009307C5">
        <w:t>Compressor disk fracture.</w:t>
      </w:r>
    </w:p>
    <w:p w14:paraId="7E1EEF51" w14:textId="3DD268DE" w:rsidR="00E648BB" w:rsidRPr="002A3591" w:rsidRDefault="009307C5">
      <w:pPr>
        <w:pStyle w:val="Levels1-3-OneParagraphUnderHeading"/>
      </w:pPr>
      <w:r>
        <w:t>An 8</w:t>
      </w:r>
      <w:r>
        <w:rPr>
          <w:vertAlign w:val="superscript"/>
        </w:rPr>
        <w:t>th</w:t>
      </w:r>
      <w:r>
        <w:t xml:space="preserve"> stage compressor disk installed in a low-bypass turbofan engine fractures during </w:t>
      </w:r>
      <w:r w:rsidR="002C2B05">
        <w:t xml:space="preserve">the </w:t>
      </w:r>
      <w:r>
        <w:t>takeoff roll.</w:t>
      </w:r>
      <w:r w:rsidR="00E442E7">
        <w:t xml:space="preserve"> </w:t>
      </w:r>
      <w:r>
        <w:t xml:space="preserve">The fracture occurs </w:t>
      </w:r>
      <w:r w:rsidR="002C2B05">
        <w:t>before</w:t>
      </w:r>
      <w:r>
        <w:t xml:space="preserve"> V1, and the takeoff is safely aborted.</w:t>
      </w:r>
      <w:r w:rsidR="00E442E7">
        <w:t xml:space="preserve"> </w:t>
      </w:r>
      <w:r>
        <w:t>The fractured disk ha</w:t>
      </w:r>
      <w:r w:rsidR="007669AA">
        <w:t>d</w:t>
      </w:r>
      <w:r w:rsidR="00A31751">
        <w:t xml:space="preserve"> </w:t>
      </w:r>
      <w:r w:rsidR="006D23B3">
        <w:t xml:space="preserve">accumulated </w:t>
      </w:r>
      <w:r>
        <w:t>12,508 cycles</w:t>
      </w:r>
      <w:r w:rsidR="006D23B3">
        <w:t xml:space="preserve"> in service prior to the fracture</w:t>
      </w:r>
      <w:r>
        <w:t>.</w:t>
      </w:r>
      <w:r w:rsidR="00E442E7">
        <w:t xml:space="preserve"> </w:t>
      </w:r>
      <w:r>
        <w:t xml:space="preserve">The fracture is uncontained but does not cause any damage to the </w:t>
      </w:r>
      <w:r w:rsidR="003C7D31">
        <w:t xml:space="preserve">airplane </w:t>
      </w:r>
      <w:r>
        <w:t>or injury to any passenger or crew.</w:t>
      </w:r>
      <w:r w:rsidR="00E442E7">
        <w:t xml:space="preserve"> </w:t>
      </w:r>
      <w:r>
        <w:t xml:space="preserve">Control is maintained at all </w:t>
      </w:r>
      <w:proofErr w:type="gramStart"/>
      <w:r>
        <w:t>times</w:t>
      </w:r>
      <w:proofErr w:type="gramEnd"/>
      <w:r>
        <w:t xml:space="preserve"> and the </w:t>
      </w:r>
      <w:r w:rsidR="003C7D31">
        <w:t xml:space="preserve">airplane </w:t>
      </w:r>
      <w:r>
        <w:t>stops on the runway.</w:t>
      </w:r>
      <w:r w:rsidR="00E442E7">
        <w:t xml:space="preserve"> </w:t>
      </w:r>
      <w:r>
        <w:t>Failure investigation reveals the disk fractured in low-cycle fatigue due to corrosion.</w:t>
      </w:r>
      <w:r w:rsidR="00E442E7">
        <w:t xml:space="preserve"> </w:t>
      </w:r>
      <w:r>
        <w:t>The investigation further indicates the corrosion occurred because the failed part had not been prope</w:t>
      </w:r>
      <w:r w:rsidR="00E648BB">
        <w:t>rly coated during manufacture.</w:t>
      </w:r>
      <w:r w:rsidR="00E442E7">
        <w:t xml:space="preserve"> </w:t>
      </w:r>
      <w:r w:rsidR="008A42BA">
        <w:t>T</w:t>
      </w:r>
      <w:r w:rsidR="00E648BB">
        <w:t>he problem is identified and corrected in production; however, the risk posed by other improperly coated parts in service must be assessed.</w:t>
      </w:r>
    </w:p>
    <w:p w14:paraId="03CFF1B0" w14:textId="77777777" w:rsidR="00E90FAD" w:rsidRPr="004303A5" w:rsidRDefault="009307C5" w:rsidP="003D4E32">
      <w:pPr>
        <w:pStyle w:val="Heading8"/>
        <w:rPr>
          <w:b/>
        </w:rPr>
      </w:pPr>
      <w:r w:rsidRPr="004303A5">
        <w:rPr>
          <w:b/>
        </w:rPr>
        <w:t xml:space="preserve">Estimate the number of </w:t>
      </w:r>
      <w:r w:rsidR="003C7D31" w:rsidRPr="004303A5">
        <w:rPr>
          <w:b/>
        </w:rPr>
        <w:t>airplane</w:t>
      </w:r>
      <w:r w:rsidR="00BA58B7">
        <w:rPr>
          <w:b/>
        </w:rPr>
        <w:t>s</w:t>
      </w:r>
      <w:r w:rsidR="003C7D31" w:rsidRPr="004303A5">
        <w:rPr>
          <w:b/>
        </w:rPr>
        <w:t xml:space="preserve"> </w:t>
      </w:r>
      <w:r w:rsidRPr="004303A5">
        <w:rPr>
          <w:b/>
        </w:rPr>
        <w:t>exposed.</w:t>
      </w:r>
    </w:p>
    <w:p w14:paraId="5B7798C5" w14:textId="68DBDFB8" w:rsidR="009307C5" w:rsidRDefault="009307C5" w:rsidP="00784203">
      <w:pPr>
        <w:pStyle w:val="Levels1-3-OneParagraphUnderHeading"/>
      </w:pPr>
      <w:r>
        <w:t xml:space="preserve">Initial </w:t>
      </w:r>
      <w:r w:rsidRPr="00AA4F37">
        <w:t>evaluation</w:t>
      </w:r>
      <w:r>
        <w:t xml:space="preserve"> of the extent of the problem detects no known manufacturing process changes that might have accounted for the coating problem.</w:t>
      </w:r>
      <w:r w:rsidR="00E442E7">
        <w:t xml:space="preserve"> </w:t>
      </w:r>
      <w:r>
        <w:t>However, this part number disk is processed at a dedicated coating facility (i.e., the facility produces only this part), and while all disks of this part number are potentially at risk, the problem is not considered to extend to other part numbers (no evidence of any problems with the parts produced by other facilities).</w:t>
      </w:r>
      <w:r w:rsidR="00E442E7">
        <w:t xml:space="preserve"> </w:t>
      </w:r>
      <w:r>
        <w:t xml:space="preserve">Four hundred and thirty-three (433) disks (including spares) of the suspect part number are currently in service and </w:t>
      </w:r>
      <w:proofErr w:type="gramStart"/>
      <w:r>
        <w:t>are considered to be</w:t>
      </w:r>
      <w:proofErr w:type="gramEnd"/>
      <w:r>
        <w:t xml:space="preserve"> at risk of a repeat event.</w:t>
      </w:r>
      <w:r w:rsidR="00E442E7">
        <w:t xml:space="preserve"> </w:t>
      </w:r>
      <w:r w:rsidR="00A520B7">
        <w:t>There are a</w:t>
      </w:r>
      <w:r w:rsidR="00364685">
        <w:t xml:space="preserve">nother </w:t>
      </w:r>
      <w:r w:rsidR="00B4650C">
        <w:t>36 disks</w:t>
      </w:r>
      <w:r w:rsidR="003B4FAE">
        <w:t xml:space="preserve"> that</w:t>
      </w:r>
      <w:r w:rsidR="00B4650C">
        <w:t xml:space="preserve"> have been </w:t>
      </w:r>
      <w:r w:rsidR="00364685">
        <w:t>retired.</w:t>
      </w:r>
    </w:p>
    <w:p w14:paraId="162CA160" w14:textId="77777777" w:rsidR="00E90FAD" w:rsidRPr="004303A5" w:rsidRDefault="009307C5" w:rsidP="003D4E32">
      <w:pPr>
        <w:pStyle w:val="Heading8"/>
        <w:rPr>
          <w:rStyle w:val="Lead-in-Underlinenobold"/>
          <w:b/>
          <w:u w:val="none"/>
        </w:rPr>
      </w:pPr>
      <w:r w:rsidRPr="004303A5">
        <w:rPr>
          <w:rStyle w:val="Lead-in-Underlinenobold"/>
          <w:b/>
          <w:u w:val="none"/>
        </w:rPr>
        <w:t>Perform a Weibull Analysis.</w:t>
      </w:r>
    </w:p>
    <w:p w14:paraId="49379141" w14:textId="403A17E2" w:rsidR="009307C5" w:rsidRDefault="009307C5" w:rsidP="00784203">
      <w:pPr>
        <w:pStyle w:val="Levels1-3-OneParagraphUnderHeading"/>
      </w:pPr>
      <w:r>
        <w:t xml:space="preserve">The engine manufacturer immediately performs a Weibull analysis using a typical fatigue </w:t>
      </w:r>
      <w:r w:rsidR="00E648BB">
        <w:t>wear out</w:t>
      </w:r>
      <w:r>
        <w:t xml:space="preserve"> slope against the</w:t>
      </w:r>
      <w:r w:rsidR="00AB0EF9">
        <w:t xml:space="preserve"> total</w:t>
      </w:r>
      <w:r>
        <w:t xml:space="preserve"> population of disks</w:t>
      </w:r>
      <w:r w:rsidR="00364685">
        <w:t xml:space="preserve"> (433+36)</w:t>
      </w:r>
      <w:r w:rsidR="00AB0EF9">
        <w:t xml:space="preserve"> to establish the disk life distribution (Note: It is acceptable to use uninspected disks that are known not to have failed for a failure life distribution, but not for time to crack.</w:t>
      </w:r>
      <w:r w:rsidR="00E442E7">
        <w:t xml:space="preserve"> </w:t>
      </w:r>
      <w:r w:rsidR="00AB0EF9">
        <w:t>Which requires a known inspection result)</w:t>
      </w:r>
      <w:r>
        <w:t>.</w:t>
      </w:r>
      <w:r w:rsidR="00E442E7">
        <w:t xml:space="preserve"> </w:t>
      </w:r>
      <w:r>
        <w:t>This</w:t>
      </w:r>
      <w:r w:rsidR="004E48DE">
        <w:t xml:space="preserve"> life distribution </w:t>
      </w:r>
      <w:r w:rsidR="004E48DE" w:rsidRPr="003809E6">
        <w:t>is then used</w:t>
      </w:r>
      <w:r w:rsidR="004E48DE">
        <w:t xml:space="preserve"> to predict the future risk of disks still in service as </w:t>
      </w:r>
      <w:r w:rsidR="002C2B05">
        <w:t xml:space="preserve">an </w:t>
      </w:r>
      <w:r w:rsidR="004E48DE">
        <w:t>input to a simulation.</w:t>
      </w:r>
      <w:r w:rsidR="00E442E7">
        <w:t xml:space="preserve"> </w:t>
      </w:r>
      <w:r>
        <w:t>The simulation runs a computer model of the</w:t>
      </w:r>
      <w:r w:rsidR="004E48DE">
        <w:t xml:space="preserve"> current</w:t>
      </w:r>
      <w:r>
        <w:t xml:space="preserve"> fleet forward in time.</w:t>
      </w:r>
      <w:r w:rsidR="00E442E7">
        <w:t xml:space="preserve"> </w:t>
      </w:r>
      <w:r>
        <w:t xml:space="preserve">This </w:t>
      </w:r>
      <w:r w:rsidR="00106CDD">
        <w:t xml:space="preserve">simulation </w:t>
      </w:r>
      <w:r>
        <w:t>model predicts 1.3 additional disk fractures if all current parts are allowed to remain in service until their certified retirement life (15,000 cycles).</w:t>
      </w:r>
      <w:r w:rsidR="00E442E7">
        <w:t xml:space="preserve"> </w:t>
      </w:r>
      <w:r>
        <w:t>Calibration of this risk model</w:t>
      </w:r>
      <w:r w:rsidR="00037358">
        <w:t xml:space="preserve">, </w:t>
      </w:r>
      <w:r>
        <w:t>by backing up the simulation to the start of service and running the fleet model to the present</w:t>
      </w:r>
      <w:r w:rsidR="00037358">
        <w:t>,</w:t>
      </w:r>
      <w:r>
        <w:t xml:space="preserve"> gives a pr</w:t>
      </w:r>
      <w:r w:rsidR="00037358">
        <w:t xml:space="preserve">ediction of 0.95 events to date, </w:t>
      </w:r>
      <w:r>
        <w:t xml:space="preserve">versus </w:t>
      </w:r>
      <w:r w:rsidR="003B4FAE">
        <w:t xml:space="preserve">one </w:t>
      </w:r>
      <w:r>
        <w:t>occurred, which is judged to be indicative of a valid model.</w:t>
      </w:r>
    </w:p>
    <w:p w14:paraId="73CC38FC" w14:textId="77777777" w:rsidR="00E90FAD" w:rsidRPr="00BA58B7" w:rsidRDefault="009307C5" w:rsidP="003D4E32">
      <w:pPr>
        <w:pStyle w:val="Heading8"/>
        <w:rPr>
          <w:b/>
          <w:i/>
        </w:rPr>
      </w:pPr>
      <w:r w:rsidRPr="004303A5">
        <w:rPr>
          <w:b/>
        </w:rPr>
        <w:t>Estimate the uncorrected risk and risk per flight.</w:t>
      </w:r>
    </w:p>
    <w:p w14:paraId="7CB31B99" w14:textId="3E74F87A" w:rsidR="009307C5" w:rsidRDefault="00784203" w:rsidP="00784203">
      <w:pPr>
        <w:pStyle w:val="Levels1-3-OneParagraphUnderHeading"/>
      </w:pPr>
      <w:r>
        <w:lastRenderedPageBreak/>
        <w:t>T</w:t>
      </w:r>
      <w:r w:rsidR="009307C5">
        <w:t xml:space="preserve">his event did not result in serious injury or other </w:t>
      </w:r>
      <w:r w:rsidR="0014326B">
        <w:t>HL</w:t>
      </w:r>
      <w:r w:rsidR="009307C5">
        <w:t xml:space="preserve"> 4 or 5 event</w:t>
      </w:r>
      <w:r w:rsidR="00037358">
        <w:t>s.</w:t>
      </w:r>
      <w:r w:rsidR="00E442E7">
        <w:t xml:space="preserve"> </w:t>
      </w:r>
      <w:r w:rsidR="00037358">
        <w:t>H</w:t>
      </w:r>
      <w:r w:rsidR="009307C5">
        <w:t xml:space="preserve">istorical data available at the time on similar disk fractures indicate a record of nine </w:t>
      </w:r>
      <w:r w:rsidR="0014326B">
        <w:t>HL</w:t>
      </w:r>
      <w:r w:rsidR="009307C5">
        <w:t xml:space="preserve"> 3 and 4 events out of 13 </w:t>
      </w:r>
      <w:proofErr w:type="spellStart"/>
      <w:r w:rsidR="009307C5">
        <w:t>uncontainments</w:t>
      </w:r>
      <w:proofErr w:type="spellEnd"/>
      <w:r w:rsidR="009307C5">
        <w:t xml:space="preserve"> (69 percent) due to low-bypass ratio turbofan high-pressure compressor fractures.</w:t>
      </w:r>
      <w:r w:rsidR="00E442E7">
        <w:t xml:space="preserve"> </w:t>
      </w:r>
      <w:r w:rsidR="009307C5">
        <w:t>Four of those events</w:t>
      </w:r>
      <w:r>
        <w:t xml:space="preserve"> (</w:t>
      </w:r>
      <w:r w:rsidR="009307C5">
        <w:t>30 percent</w:t>
      </w:r>
      <w:r>
        <w:t>)</w:t>
      </w:r>
      <w:r w:rsidR="009307C5">
        <w:t xml:space="preserve"> resulted in hull loss or fatality</w:t>
      </w:r>
      <w:r w:rsidR="00037358">
        <w:t xml:space="preserve"> </w:t>
      </w:r>
      <w:r>
        <w:t>(</w:t>
      </w:r>
      <w:r w:rsidR="0014326B">
        <w:t>HL</w:t>
      </w:r>
      <w:r w:rsidR="009307C5">
        <w:t xml:space="preserve"> 4</w:t>
      </w:r>
      <w:r>
        <w:t>)</w:t>
      </w:r>
      <w:r w:rsidR="00037358">
        <w:t xml:space="preserve"> </w:t>
      </w:r>
      <w:r w:rsidR="009307C5">
        <w:t xml:space="preserve">due to on-ground fire; one of these </w:t>
      </w:r>
      <w:r>
        <w:t>(</w:t>
      </w:r>
      <w:r w:rsidR="009307C5">
        <w:t xml:space="preserve">8 </w:t>
      </w:r>
      <w:r w:rsidR="00037358">
        <w:t>percent</w:t>
      </w:r>
      <w:r>
        <w:t>)</w:t>
      </w:r>
      <w:r w:rsidR="009307C5">
        <w:t xml:space="preserve"> was also </w:t>
      </w:r>
      <w:r w:rsidR="0014326B">
        <w:t>HL</w:t>
      </w:r>
      <w:r w:rsidR="009307C5">
        <w:t xml:space="preserve"> 5 </w:t>
      </w:r>
      <w:r>
        <w:t>(</w:t>
      </w:r>
      <w:r w:rsidR="00037358">
        <w:t>hull loss/multiple fatalities</w:t>
      </w:r>
      <w:r>
        <w:t>)</w:t>
      </w:r>
      <w:r w:rsidR="009307C5">
        <w:t>.</w:t>
      </w:r>
      <w:r w:rsidR="00E442E7">
        <w:t xml:space="preserve"> </w:t>
      </w:r>
      <w:r w:rsidR="009307C5">
        <w:t xml:space="preserve">Coordination with the </w:t>
      </w:r>
      <w:r w:rsidR="003C7D31">
        <w:t xml:space="preserve">airplane </w:t>
      </w:r>
      <w:r w:rsidR="009307C5">
        <w:t>manufacturer indicates that, for this installation, use of the historical CAAM data would be appropriate.</w:t>
      </w:r>
      <w:r w:rsidR="00E442E7">
        <w:t xml:space="preserve"> </w:t>
      </w:r>
      <w:r w:rsidR="009307C5">
        <w:t>Structural review by the engine manufacturer predicts that fracture of this 8</w:t>
      </w:r>
      <w:r w:rsidR="009307C5">
        <w:rPr>
          <w:vertAlign w:val="superscript"/>
        </w:rPr>
        <w:t>th</w:t>
      </w:r>
      <w:r w:rsidR="009307C5">
        <w:t xml:space="preserve"> stage disk would be expected to result in </w:t>
      </w:r>
      <w:proofErr w:type="spellStart"/>
      <w:r w:rsidR="009307C5">
        <w:t>uncontainment</w:t>
      </w:r>
      <w:proofErr w:type="spellEnd"/>
      <w:r w:rsidR="009307C5">
        <w:t xml:space="preserve"> 100 percent of the time.</w:t>
      </w:r>
      <w:r w:rsidR="00E442E7">
        <w:t xml:space="preserve"> </w:t>
      </w:r>
      <w:r w:rsidR="009307C5">
        <w:t>Since 1.3 events are predicted and 30 percent of those would be expected to result in a</w:t>
      </w:r>
      <w:r w:rsidR="00A63B2D">
        <w:t>n</w:t>
      </w:r>
      <w:r w:rsidR="009307C5">
        <w:t xml:space="preserve"> </w:t>
      </w:r>
      <w:r w:rsidR="0014326B">
        <w:t>HL</w:t>
      </w:r>
      <w:r w:rsidR="009307C5">
        <w:t xml:space="preserve"> 4 event, 0.39 </w:t>
      </w:r>
      <w:r w:rsidR="0014326B">
        <w:t>HL</w:t>
      </w:r>
      <w:r w:rsidR="009307C5">
        <w:t xml:space="preserve"> 4 events would be expected if no action is taken (1.3 x 0.30 = 0.39), and 0.1 (1.3 x 0.08 = 0.1) </w:t>
      </w:r>
      <w:r w:rsidR="0014326B">
        <w:t>HL</w:t>
      </w:r>
      <w:r w:rsidR="009307C5">
        <w:t xml:space="preserve"> 5 events.</w:t>
      </w:r>
      <w:r w:rsidR="00E442E7">
        <w:t xml:space="preserve"> </w:t>
      </w:r>
      <w:r w:rsidR="009307C5">
        <w:t xml:space="preserve">There are two at-risk engines per </w:t>
      </w:r>
      <w:r w:rsidR="003C7D31">
        <w:t>airplane</w:t>
      </w:r>
      <w:r w:rsidR="009307C5">
        <w:t xml:space="preserve"> and the 433 disks have an average of 5000 cycles remaining until retirement.</w:t>
      </w:r>
      <w:r w:rsidR="00E442E7">
        <w:t xml:space="preserve"> </w:t>
      </w:r>
      <w:r w:rsidR="009307C5">
        <w:t>Therefore, the average per-flight risk of a</w:t>
      </w:r>
      <w:r w:rsidR="00A63B2D">
        <w:t>n</w:t>
      </w:r>
      <w:r w:rsidR="009307C5">
        <w:t xml:space="preserve"> </w:t>
      </w:r>
      <w:r w:rsidR="0014326B">
        <w:t>HL</w:t>
      </w:r>
      <w:r w:rsidR="009307C5">
        <w:t xml:space="preserve"> 4 (or higher) event if no action is taken is 3.6 x 10</w:t>
      </w:r>
      <w:r w:rsidR="009307C5">
        <w:rPr>
          <w:vertAlign w:val="superscript"/>
        </w:rPr>
        <w:t>-7</w:t>
      </w:r>
      <w:r w:rsidR="009307C5">
        <w:t xml:space="preserve"> [0.39 / (433 disks x 5000 cycles/disk / 2 cycles</w:t>
      </w:r>
      <w:r w:rsidR="00C3315C">
        <w:t xml:space="preserve"> per </w:t>
      </w:r>
      <w:r w:rsidR="009307C5">
        <w:t>flight</w:t>
      </w:r>
      <w:r w:rsidR="00C3315C">
        <w:t>*</w:t>
      </w:r>
      <w:r w:rsidR="009307C5">
        <w:t>) = 3.6 x 10</w:t>
      </w:r>
      <w:r w:rsidR="009307C5">
        <w:rPr>
          <w:vertAlign w:val="superscript"/>
        </w:rPr>
        <w:t>-7</w:t>
      </w:r>
      <w:r w:rsidR="009307C5">
        <w:t>].</w:t>
      </w:r>
      <w:r w:rsidR="00E442E7">
        <w:t xml:space="preserve"> </w:t>
      </w:r>
      <w:r w:rsidR="009307C5">
        <w:t>Note that the spare disks are included in the analysis.</w:t>
      </w:r>
      <w:r w:rsidR="00E442E7">
        <w:t xml:space="preserve"> </w:t>
      </w:r>
      <w:r w:rsidR="009307C5">
        <w:t>While these</w:t>
      </w:r>
      <w:r w:rsidR="00D66297">
        <w:t xml:space="preserve"> </w:t>
      </w:r>
      <w:r w:rsidR="0014326B">
        <w:t>HL</w:t>
      </w:r>
      <w:r w:rsidR="009307C5">
        <w:t xml:space="preserve"> 4 risks are clearly in the region where action must be taken, the per-flight risk is below the guideline for immediate action (4x10</w:t>
      </w:r>
      <w:r w:rsidR="009307C5">
        <w:rPr>
          <w:vertAlign w:val="superscript"/>
        </w:rPr>
        <w:t>-6</w:t>
      </w:r>
      <w:r w:rsidR="009307C5">
        <w:t xml:space="preserve"> per-flight for </w:t>
      </w:r>
      <w:r w:rsidR="0014326B">
        <w:t>HL</w:t>
      </w:r>
      <w:r w:rsidR="009307C5">
        <w:t xml:space="preserve"> 4 events), so the disks are allowed to remain in service while an inspection and replacement plan is developed.</w:t>
      </w:r>
      <w:r w:rsidR="00E442E7">
        <w:t xml:space="preserve"> </w:t>
      </w:r>
      <w:r w:rsidR="0014326B">
        <w:t>HL</w:t>
      </w:r>
      <w:r w:rsidR="009307C5">
        <w:t xml:space="preserve"> 3 events are also calculated:</w:t>
      </w:r>
      <w:r w:rsidR="00E442E7">
        <w:t xml:space="preserve"> </w:t>
      </w:r>
      <w:r w:rsidR="009307C5">
        <w:t>there are 0.90 level 3 (or higher) events predicted (1.3 events x 0.69 at least level 3 = 0.90), with a per-flight risk of 8.3x10</w:t>
      </w:r>
      <w:r w:rsidR="009307C5">
        <w:rPr>
          <w:vertAlign w:val="superscript"/>
        </w:rPr>
        <w:t>-7</w:t>
      </w:r>
      <w:r w:rsidR="009307C5">
        <w:t xml:space="preserve"> [0.90 / (433 disks x 5000 cycles/disk / 2 cycles</w:t>
      </w:r>
      <w:r w:rsidR="00210E07">
        <w:t xml:space="preserve"> per</w:t>
      </w:r>
      <w:r w:rsidR="00FE6461">
        <w:t xml:space="preserve"> </w:t>
      </w:r>
      <w:r w:rsidR="009307C5">
        <w:t>flight</w:t>
      </w:r>
      <w:r w:rsidR="00A451E3">
        <w:t>*</w:t>
      </w:r>
      <w:r w:rsidR="009307C5">
        <w:t>) = 8.3 x 10</w:t>
      </w:r>
      <w:r w:rsidR="009307C5">
        <w:rPr>
          <w:vertAlign w:val="superscript"/>
        </w:rPr>
        <w:t>-7</w:t>
      </w:r>
      <w:r w:rsidR="009307C5">
        <w:t>].</w:t>
      </w:r>
    </w:p>
    <w:p w14:paraId="750FA954" w14:textId="77777777" w:rsidR="00A451E3" w:rsidRDefault="00A451E3" w:rsidP="00784203">
      <w:pPr>
        <w:pStyle w:val="Levels1-3-OneParagraphUnderHeading"/>
      </w:pPr>
    </w:p>
    <w:p w14:paraId="515B2B22" w14:textId="500CB755" w:rsidR="00A451E3" w:rsidRDefault="00107FE5" w:rsidP="008435F6">
      <w:pPr>
        <w:pStyle w:val="Levels1-3-Bullet"/>
        <w:numPr>
          <w:ilvl w:val="0"/>
          <w:numId w:val="0"/>
        </w:numPr>
        <w:ind w:left="1224" w:hanging="360"/>
      </w:pPr>
      <w:r>
        <w:t xml:space="preserve">*   </w:t>
      </w:r>
      <w:r w:rsidR="00A451E3">
        <w:t xml:space="preserve">Two engines per airplane, each </w:t>
      </w:r>
      <w:r w:rsidR="00F32ADB">
        <w:t xml:space="preserve">engine </w:t>
      </w:r>
      <w:r w:rsidR="00A451E3">
        <w:t>experiencing one cycle per flight.</w:t>
      </w:r>
    </w:p>
    <w:p w14:paraId="7E36A6C1" w14:textId="77777777" w:rsidR="00E90FAD" w:rsidRPr="00E93368" w:rsidRDefault="009307C5" w:rsidP="003D4E32">
      <w:pPr>
        <w:pStyle w:val="Heading8"/>
        <w:rPr>
          <w:b/>
        </w:rPr>
      </w:pPr>
      <w:r w:rsidRPr="00E93368">
        <w:rPr>
          <w:b/>
        </w:rPr>
        <w:t xml:space="preserve">Estimate </w:t>
      </w:r>
      <w:r w:rsidR="002C2B05" w:rsidRPr="00E93368">
        <w:rPr>
          <w:b/>
        </w:rPr>
        <w:t xml:space="preserve">the </w:t>
      </w:r>
      <w:r w:rsidRPr="00E93368">
        <w:rPr>
          <w:b/>
        </w:rPr>
        <w:t>effects of candidate actions.</w:t>
      </w:r>
    </w:p>
    <w:p w14:paraId="11A822CB" w14:textId="72A0F3CF" w:rsidR="009307C5" w:rsidRDefault="009307C5" w:rsidP="00784203">
      <w:pPr>
        <w:pStyle w:val="Levels1-3-OneParagraphUnderHeading"/>
      </w:pPr>
      <w:r>
        <w:t xml:space="preserve">Over the next few weeks, while a plan is being developed, </w:t>
      </w:r>
      <w:r w:rsidR="002C2B05">
        <w:t>many</w:t>
      </w:r>
      <w:r>
        <w:t xml:space="preserve"> retired disks are located and inspected, along with several disks in engines currently undergoing scheduled shop visit</w:t>
      </w:r>
      <w:r w:rsidR="003B4FAE">
        <w:t>s</w:t>
      </w:r>
      <w:r>
        <w:t>.</w:t>
      </w:r>
      <w:r w:rsidR="00E442E7">
        <w:t xml:space="preserve"> </w:t>
      </w:r>
      <w:r>
        <w:t>One disk is found to have a crack resulting from a corrosion pit.</w:t>
      </w:r>
      <w:r w:rsidR="00E442E7">
        <w:t xml:space="preserve"> </w:t>
      </w:r>
      <w:r>
        <w:t>These inspection findings, along with structural modeling by the engine manufacturer, allow for a more refined quantitative analysis, including initiation and propagation distributions.</w:t>
      </w:r>
      <w:r w:rsidR="00E442E7">
        <w:t xml:space="preserve"> </w:t>
      </w:r>
      <w:r>
        <w:t xml:space="preserve">The Monte Carlo simulation is revised and is performed against </w:t>
      </w:r>
      <w:r w:rsidR="002C2B05">
        <w:t>many</w:t>
      </w:r>
      <w:r>
        <w:t xml:space="preserve"> inspection and replacement scenarios to find one that acceptably mitigates the risk of serious injury.</w:t>
      </w:r>
      <w:r w:rsidR="00E442E7">
        <w:t xml:space="preserve"> </w:t>
      </w:r>
      <w:r>
        <w:t xml:space="preserve">The engine manufacturer submits a plan to the </w:t>
      </w:r>
      <w:r w:rsidR="00FF09C2">
        <w:t>FAA</w:t>
      </w:r>
      <w:r w:rsidR="00FF060C">
        <w:t>. The manufacturer’s proposed plan</w:t>
      </w:r>
      <w:r>
        <w:t xml:space="preserve"> calls for </w:t>
      </w:r>
      <w:r w:rsidR="002C2B05">
        <w:t xml:space="preserve">the </w:t>
      </w:r>
      <w:r>
        <w:t xml:space="preserve">replacement of the disks at next shop visit, with engines above </w:t>
      </w:r>
      <w:r w:rsidR="00E44D8B">
        <w:t xml:space="preserve">a part life of </w:t>
      </w:r>
      <w:r>
        <w:t>10,000 cycles to be removed no later than within the next 2,000 cycles.</w:t>
      </w:r>
      <w:r w:rsidR="00E442E7">
        <w:t xml:space="preserve"> </w:t>
      </w:r>
      <w:r>
        <w:t xml:space="preserve">The simulation predicts that this plan would result in 0.18 </w:t>
      </w:r>
      <w:r w:rsidR="007C6A41">
        <w:t>uncontain</w:t>
      </w:r>
      <w:r w:rsidR="005442AD">
        <w:t>ed events</w:t>
      </w:r>
      <w:r>
        <w:t xml:space="preserve"> of which 0.12 would be at least level 3 (0.69 level 3 x 0.18 = 0.12), 0.05 would be </w:t>
      </w:r>
      <w:r w:rsidR="0014326B">
        <w:t>HL</w:t>
      </w:r>
      <w:r>
        <w:t xml:space="preserve"> 4 (0.30</w:t>
      </w:r>
      <w:r w:rsidR="00D66297">
        <w:t xml:space="preserve"> </w:t>
      </w:r>
      <w:r w:rsidR="0014326B">
        <w:t>HL</w:t>
      </w:r>
      <w:r>
        <w:t xml:space="preserve"> 4 x 0.18 events = 0.05), and .01 would be level 5 (0.08 level 5 x 0.18 events = 0.01).</w:t>
      </w:r>
      <w:r w:rsidR="00E442E7">
        <w:t xml:space="preserve"> </w:t>
      </w:r>
      <w:r>
        <w:t xml:space="preserve">Both the </w:t>
      </w:r>
      <w:r w:rsidR="0014326B">
        <w:t>HL</w:t>
      </w:r>
      <w:r w:rsidR="0059263A">
        <w:t>s</w:t>
      </w:r>
      <w:r>
        <w:t xml:space="preserve"> 3 and 4 predictions are below the risk guidelines</w:t>
      </w:r>
      <w:r w:rsidR="00567842">
        <w:t xml:space="preserve"> outlined in</w:t>
      </w:r>
      <w:r>
        <w:t xml:space="preserve"> </w:t>
      </w:r>
      <w:r w:rsidR="004B0390">
        <w:t xml:space="preserve">paragraph 11 of </w:t>
      </w:r>
      <w:r w:rsidR="00795DF5">
        <w:t>t</w:t>
      </w:r>
      <w:r>
        <w:t>able 1</w:t>
      </w:r>
      <w:r w:rsidR="00567842">
        <w:t>.</w:t>
      </w:r>
      <w:r w:rsidR="00E442E7">
        <w:t xml:space="preserve"> </w:t>
      </w:r>
      <w:r w:rsidR="00567842">
        <w:t>T</w:t>
      </w:r>
      <w:r>
        <w:t xml:space="preserve">he </w:t>
      </w:r>
      <w:r w:rsidR="0014326B">
        <w:t>HL</w:t>
      </w:r>
      <w:r>
        <w:t xml:space="preserve"> 5 risk is well controlled within </w:t>
      </w:r>
      <w:r w:rsidR="0014326B">
        <w:t>HL</w:t>
      </w:r>
      <w:r>
        <w:t xml:space="preserve"> 4 exposure.</w:t>
      </w:r>
      <w:r w:rsidR="00E442E7">
        <w:t xml:space="preserve"> </w:t>
      </w:r>
      <w:r>
        <w:t>This plan calls for an aggressive production schedule of replacement disks.</w:t>
      </w:r>
      <w:r w:rsidR="00E442E7">
        <w:t xml:space="preserve"> </w:t>
      </w:r>
      <w:r>
        <w:t>Shop visit capacity will also be strained but is expected to be capable of meeting the increase in inducted engines with only minor schedule disruptions.</w:t>
      </w:r>
      <w:r w:rsidR="00E442E7">
        <w:t xml:space="preserve"> </w:t>
      </w:r>
      <w:r>
        <w:t xml:space="preserve">The engine manufacturer issues a </w:t>
      </w:r>
      <w:r w:rsidR="00567842">
        <w:t xml:space="preserve">service bulletin </w:t>
      </w:r>
      <w:r>
        <w:t>recommending disk replacement to the above schedule.</w:t>
      </w:r>
    </w:p>
    <w:p w14:paraId="7A4B6FC7" w14:textId="77777777" w:rsidR="00E90FAD" w:rsidRPr="00E93368" w:rsidRDefault="009307C5" w:rsidP="003D4E32">
      <w:pPr>
        <w:pStyle w:val="Heading8"/>
        <w:rPr>
          <w:b/>
        </w:rPr>
      </w:pPr>
      <w:r w:rsidRPr="00E93368">
        <w:rPr>
          <w:b/>
        </w:rPr>
        <w:t>Implement and monitor corrective action plan.</w:t>
      </w:r>
    </w:p>
    <w:p w14:paraId="6FE18ADC" w14:textId="24182418" w:rsidR="00E4125C" w:rsidRPr="00313E77" w:rsidRDefault="009307C5" w:rsidP="00AD10DB">
      <w:pPr>
        <w:pStyle w:val="Levels1-3-OneParagraphUnderHeading"/>
      </w:pPr>
      <w:r>
        <w:lastRenderedPageBreak/>
        <w:t xml:space="preserve">The </w:t>
      </w:r>
      <w:r w:rsidR="00265899">
        <w:t>FAA</w:t>
      </w:r>
      <w:r w:rsidR="000072A6">
        <w:t xml:space="preserve"> </w:t>
      </w:r>
      <w:r>
        <w:t>reviews the assumptions and results of the risk analysis</w:t>
      </w:r>
      <w:r w:rsidR="00E442E7">
        <w:t xml:space="preserve"> </w:t>
      </w:r>
      <w:r w:rsidR="00E51A52">
        <w:t>and</w:t>
      </w:r>
      <w:r w:rsidR="000072A6">
        <w:t xml:space="preserve"> </w:t>
      </w:r>
      <w:r w:rsidR="00A73287">
        <w:t xml:space="preserve">issues a </w:t>
      </w:r>
      <w:r w:rsidR="006B7A92">
        <w:t>n</w:t>
      </w:r>
      <w:r w:rsidR="00A73287">
        <w:t>otice of</w:t>
      </w:r>
      <w:r w:rsidR="006B7A92">
        <w:t xml:space="preserve"> p</w:t>
      </w:r>
      <w:r w:rsidR="00A73287">
        <w:t xml:space="preserve">roposed </w:t>
      </w:r>
      <w:r w:rsidR="006B7A92">
        <w:t>r</w:t>
      </w:r>
      <w:r w:rsidR="00A73287">
        <w:t>ulemaking</w:t>
      </w:r>
      <w:r>
        <w:t xml:space="preserve">, followed by </w:t>
      </w:r>
      <w:r w:rsidR="006B7A92">
        <w:t>a</w:t>
      </w:r>
      <w:r>
        <w:t xml:space="preserve"> </w:t>
      </w:r>
      <w:r w:rsidR="006B7A92">
        <w:t>f</w:t>
      </w:r>
      <w:r w:rsidR="00626780">
        <w:t xml:space="preserve">inal </w:t>
      </w:r>
      <w:r w:rsidR="006B7A92">
        <w:t>r</w:t>
      </w:r>
      <w:r w:rsidR="00626780">
        <w:t xml:space="preserve">ule after </w:t>
      </w:r>
      <w:r w:rsidR="006B7A92">
        <w:t>n</w:t>
      </w:r>
      <w:r w:rsidR="00626780">
        <w:t>otice</w:t>
      </w:r>
      <w:r>
        <w:t xml:space="preserve">, to mandate the engine manufacturer’s </w:t>
      </w:r>
      <w:r w:rsidR="00037358">
        <w:t>s</w:t>
      </w:r>
      <w:r>
        <w:t xml:space="preserve">ervice </w:t>
      </w:r>
      <w:r w:rsidR="00037358">
        <w:t>b</w:t>
      </w:r>
      <w:r>
        <w:t>ulletin.</w:t>
      </w:r>
      <w:r w:rsidR="00E442E7">
        <w:t xml:space="preserve"> </w:t>
      </w:r>
      <w:r>
        <w:t>Disks are inspected as they are replaced, with the results compared at regular intervals to the month-by-month predicted crack findings from the Monte Carlo simulation.</w:t>
      </w:r>
      <w:r w:rsidR="00E442E7">
        <w:t xml:space="preserve"> </w:t>
      </w:r>
      <w:r>
        <w:t>Subsequent inspection findings indicate the initial risk analysis is somewhat conservative.</w:t>
      </w:r>
      <w:r w:rsidR="00E442E7">
        <w:t xml:space="preserve"> </w:t>
      </w:r>
      <w:r>
        <w:t xml:space="preserve">However, both the engine manufacturer and the </w:t>
      </w:r>
      <w:r w:rsidR="00A908C9">
        <w:t>FAA</w:t>
      </w:r>
      <w:r w:rsidR="000072A6">
        <w:t xml:space="preserve"> </w:t>
      </w:r>
      <w:r>
        <w:t>believe that no alleviation of the disk replacement schedule should be pursued due to the potential seriousness of another ev</w:t>
      </w:r>
      <w:r w:rsidR="00037358">
        <w:t>ent.</w:t>
      </w:r>
      <w:r w:rsidR="00E442E7">
        <w:t xml:space="preserve"> </w:t>
      </w:r>
      <w:r w:rsidR="00037358">
        <w:t xml:space="preserve">After nine months, the </w:t>
      </w:r>
      <w:r w:rsidR="00A908C9">
        <w:t>FAA</w:t>
      </w:r>
      <w:r w:rsidR="000072A6">
        <w:t xml:space="preserve"> </w:t>
      </w:r>
      <w:r>
        <w:t>also requests a comparison of the actual shop visit (disk replacement) rate with the predictions from the risk analysis.</w:t>
      </w:r>
      <w:r w:rsidR="00E442E7">
        <w:t xml:space="preserve"> </w:t>
      </w:r>
      <w:r>
        <w:t xml:space="preserve">The actual </w:t>
      </w:r>
      <w:r w:rsidR="00811C1E">
        <w:t xml:space="preserve">rate </w:t>
      </w:r>
      <w:r>
        <w:t>is found to be within two percent of the predicted</w:t>
      </w:r>
      <w:r w:rsidR="004303A5">
        <w:t xml:space="preserve"> rate</w:t>
      </w:r>
      <w:r>
        <w:t>, so no additional action is taken.</w:t>
      </w:r>
      <w:r w:rsidR="00E442E7">
        <w:t xml:space="preserve"> </w:t>
      </w:r>
      <w:r>
        <w:t xml:space="preserve">After </w:t>
      </w:r>
      <w:r w:rsidR="00D02A4A">
        <w:t>4.5</w:t>
      </w:r>
      <w:r>
        <w:t xml:space="preserve"> years, the last of the suspect disks </w:t>
      </w:r>
      <w:r w:rsidR="002C2B05">
        <w:t xml:space="preserve">are </w:t>
      </w:r>
      <w:r>
        <w:t>replaced.</w:t>
      </w:r>
      <w:r w:rsidR="00E442E7">
        <w:t xml:space="preserve"> </w:t>
      </w:r>
      <w:r>
        <w:t>No additional events have occurred during that period.</w:t>
      </w:r>
      <w:bookmarkEnd w:id="37"/>
    </w:p>
    <w:sectPr w:rsidR="00E4125C" w:rsidRPr="00313E77" w:rsidSect="001E05D0">
      <w:headerReference w:type="even" r:id="rId68"/>
      <w:headerReference w:type="default" r:id="rId69"/>
      <w:footerReference w:type="default" r:id="rId70"/>
      <w:headerReference w:type="first" r:id="rId71"/>
      <w:pgSz w:w="12240" w:h="15840"/>
      <w:pgMar w:top="1440" w:right="1350" w:bottom="990" w:left="1440" w:header="720" w:footer="590" w:gutter="0"/>
      <w:pgNumType w:start="1" w:chapStyle="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D1F9" w14:textId="77777777" w:rsidR="0035253F" w:rsidRDefault="0035253F">
      <w:r>
        <w:separator/>
      </w:r>
    </w:p>
    <w:p w14:paraId="131135CC" w14:textId="77777777" w:rsidR="0035253F" w:rsidRDefault="0035253F"/>
    <w:p w14:paraId="16497BCC" w14:textId="77777777" w:rsidR="0035253F" w:rsidRDefault="0035253F"/>
    <w:p w14:paraId="1C1F0CCA" w14:textId="77777777" w:rsidR="0035253F" w:rsidRDefault="0035253F"/>
    <w:p w14:paraId="6E3A6664" w14:textId="77777777" w:rsidR="0035253F" w:rsidRDefault="0035253F"/>
  </w:endnote>
  <w:endnote w:type="continuationSeparator" w:id="0">
    <w:p w14:paraId="5AC86406" w14:textId="77777777" w:rsidR="0035253F" w:rsidRDefault="0035253F">
      <w:r>
        <w:continuationSeparator/>
      </w:r>
    </w:p>
    <w:p w14:paraId="54B21358" w14:textId="77777777" w:rsidR="0035253F" w:rsidRDefault="0035253F"/>
    <w:p w14:paraId="4E9CF6A7" w14:textId="77777777" w:rsidR="0035253F" w:rsidRDefault="0035253F"/>
    <w:p w14:paraId="76AF3CC8" w14:textId="77777777" w:rsidR="0035253F" w:rsidRDefault="0035253F"/>
    <w:p w14:paraId="3BBBB5E0" w14:textId="77777777" w:rsidR="0035253F" w:rsidRDefault="0035253F"/>
  </w:endnote>
  <w:endnote w:type="continuationNotice" w:id="1">
    <w:p w14:paraId="61BCAF58" w14:textId="77777777" w:rsidR="0035253F" w:rsidRDefault="00352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2BDB" w14:textId="77777777" w:rsidR="00427430" w:rsidRDefault="0042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566719"/>
      <w:docPartObj>
        <w:docPartGallery w:val="Page Numbers (Bottom of Page)"/>
        <w:docPartUnique/>
      </w:docPartObj>
    </w:sdtPr>
    <w:sdtEndPr>
      <w:rPr>
        <w:b/>
        <w:noProof/>
      </w:rPr>
    </w:sdtEndPr>
    <w:sdtContent>
      <w:p w14:paraId="028AE525" w14:textId="14CB76ED" w:rsidR="00182725" w:rsidRDefault="00182725" w:rsidP="00762534">
        <w:pPr>
          <w:pStyle w:val="Footer"/>
          <w:rPr>
            <w:noProof/>
          </w:rPr>
        </w:pPr>
        <w:r>
          <w:fldChar w:fldCharType="begin"/>
        </w:r>
        <w:r>
          <w:instrText xml:space="preserve"> PAGE   \* MERGEFORMAT </w:instrText>
        </w:r>
        <w:r>
          <w:fldChar w:fldCharType="separate"/>
        </w:r>
        <w:r w:rsidR="00A543EF">
          <w:rPr>
            <w:noProof/>
          </w:rPr>
          <w:t>21</w:t>
        </w:r>
        <w:r>
          <w:rPr>
            <w:noProof/>
          </w:rPr>
          <w:fldChar w:fldCharType="end"/>
        </w:r>
      </w:p>
      <w:p w14:paraId="25857A7C" w14:textId="77777777" w:rsidR="00182725" w:rsidRPr="00DB248F" w:rsidRDefault="00182725" w:rsidP="00DB248F">
        <w:pPr>
          <w:pStyle w:val="Footer"/>
          <w:rPr>
            <w:b/>
            <w:noProof/>
          </w:rPr>
        </w:pPr>
        <w:r w:rsidRPr="00DB248F">
          <w:rPr>
            <w:b/>
          </w:rPr>
          <w:t>This document does not represent final agency action on this matter and should not be viewed as a guarantee that any final action will follow in this or any other form</w:t>
        </w:r>
        <w:r>
          <w:rPr>
            <w:b/>
            <w:noProof/>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D604" w14:textId="77777777" w:rsidR="00182725" w:rsidRPr="00DB248F" w:rsidRDefault="00182725">
    <w:pPr>
      <w:pStyle w:val="Footer"/>
      <w:rPr>
        <w:b/>
      </w:rPr>
    </w:pPr>
    <w:r w:rsidRPr="00DB248F">
      <w:rPr>
        <w:b/>
      </w:rPr>
      <w:t>This document does not represent final agency action on this matter and should not be viewed as a guarantee that any final action will follow in this or any other form</w:t>
    </w:r>
    <w:r>
      <w:rPr>
        <w: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983987"/>
      <w:docPartObj>
        <w:docPartGallery w:val="Page Numbers (Bottom of Page)"/>
        <w:docPartUnique/>
      </w:docPartObj>
    </w:sdtPr>
    <w:sdtEndPr>
      <w:rPr>
        <w:noProof/>
      </w:rPr>
    </w:sdtEndPr>
    <w:sdtContent>
      <w:p w14:paraId="10EE80DA" w14:textId="62DFF5A3" w:rsidR="00182725" w:rsidRDefault="00182725" w:rsidP="00762534">
        <w:pPr>
          <w:pStyle w:val="Footer"/>
          <w:rPr>
            <w:noProof/>
          </w:rPr>
        </w:pPr>
        <w:r>
          <w:fldChar w:fldCharType="begin"/>
        </w:r>
        <w:r>
          <w:instrText xml:space="preserve"> PAGE   \* MERGEFORMAT </w:instrText>
        </w:r>
        <w:r>
          <w:fldChar w:fldCharType="separate"/>
        </w:r>
        <w:r w:rsidR="00A543EF">
          <w:rPr>
            <w:noProof/>
          </w:rPr>
          <w:t>A-4</w:t>
        </w:r>
        <w:r>
          <w:rPr>
            <w:noProof/>
          </w:rPr>
          <w:fldChar w:fldCharType="end"/>
        </w:r>
      </w:p>
      <w:p w14:paraId="28D1DD07" w14:textId="77777777" w:rsidR="00182725" w:rsidRPr="00DB248F" w:rsidRDefault="00182725" w:rsidP="00DB248F">
        <w:pPr>
          <w:pStyle w:val="Footer"/>
          <w:rPr>
            <w:b/>
            <w:noProof/>
          </w:rPr>
        </w:pPr>
        <w:r w:rsidRPr="00DB248F">
          <w:rPr>
            <w:b/>
          </w:rPr>
          <w:t>This document does not represent final agency action on this matter and should not be viewed as a guarantee that any final action will follow in this or any other form</w:t>
        </w:r>
        <w:r>
          <w:rPr>
            <w:b/>
            <w:noProof/>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025450"/>
      <w:docPartObj>
        <w:docPartGallery w:val="Page Numbers (Bottom of Page)"/>
        <w:docPartUnique/>
      </w:docPartObj>
    </w:sdtPr>
    <w:sdtEndPr>
      <w:rPr>
        <w:noProof/>
      </w:rPr>
    </w:sdtEndPr>
    <w:sdtContent>
      <w:p w14:paraId="6B180F5A" w14:textId="3356C8D0" w:rsidR="00182725" w:rsidRDefault="00182725" w:rsidP="00762534">
        <w:pPr>
          <w:pStyle w:val="Footer"/>
          <w:rPr>
            <w:noProof/>
          </w:rPr>
        </w:pPr>
        <w:r>
          <w:fldChar w:fldCharType="begin"/>
        </w:r>
        <w:r>
          <w:instrText xml:space="preserve"> PAGE   \* MERGEFORMAT </w:instrText>
        </w:r>
        <w:r>
          <w:fldChar w:fldCharType="separate"/>
        </w:r>
        <w:r w:rsidR="00C338DD">
          <w:rPr>
            <w:noProof/>
          </w:rPr>
          <w:t>B-4</w:t>
        </w:r>
        <w:r>
          <w:rPr>
            <w:noProof/>
          </w:rPr>
          <w:fldChar w:fldCharType="end"/>
        </w:r>
      </w:p>
      <w:p w14:paraId="1511E24D" w14:textId="77777777" w:rsidR="00182725" w:rsidRPr="00DB248F" w:rsidRDefault="00182725" w:rsidP="00DB248F">
        <w:pPr>
          <w:pStyle w:val="Footer"/>
          <w:rPr>
            <w:b/>
            <w:noProof/>
          </w:rPr>
        </w:pPr>
        <w:r w:rsidRPr="00DB248F">
          <w:rPr>
            <w:b/>
          </w:rPr>
          <w:t>This document does not represent final agency action on this matter and should not be viewed as a guarantee that any final action will follow in this or any other form</w:t>
        </w:r>
        <w:r>
          <w:rPr>
            <w:b/>
            <w:noProof/>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F11A" w14:textId="6E33FBAD" w:rsidR="00182725" w:rsidRDefault="00182725" w:rsidP="00DB248F">
    <w:pPr>
      <w:pStyle w:val="Footer"/>
      <w:tabs>
        <w:tab w:val="center" w:pos="4725"/>
        <w:tab w:val="left" w:pos="5366"/>
      </w:tabs>
      <w:jc w:val="left"/>
      <w:rPr>
        <w:noProof/>
      </w:rPr>
    </w:pPr>
    <w:r>
      <w:tab/>
    </w:r>
    <w:sdt>
      <w:sdtPr>
        <w:id w:val="-62730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081D">
          <w:rPr>
            <w:noProof/>
          </w:rPr>
          <w:t>D-19</w:t>
        </w:r>
        <w:r>
          <w:rPr>
            <w:noProof/>
          </w:rPr>
          <w:fldChar w:fldCharType="end"/>
        </w:r>
      </w:sdtContent>
    </w:sdt>
  </w:p>
  <w:p w14:paraId="18F93B21" w14:textId="77777777" w:rsidR="00182725" w:rsidRPr="00DB248F" w:rsidRDefault="00182725" w:rsidP="00DB248F">
    <w:pPr>
      <w:pStyle w:val="Footer"/>
      <w:rPr>
        <w:b/>
        <w:noProof/>
      </w:rPr>
    </w:pPr>
    <w:r w:rsidRPr="00DB248F">
      <w:rPr>
        <w:b/>
      </w:rPr>
      <w:t>This document does not represent final agency action on this matter and should not be viewed as a guarantee that any final action will follow in this or any other form</w:t>
    </w:r>
    <w:r>
      <w:rPr>
        <w:b/>
        <w:noProof/>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378F" w14:textId="77777777" w:rsidR="00182725" w:rsidRPr="00DB248F" w:rsidRDefault="00182725" w:rsidP="00DB248F">
    <w:pPr>
      <w:pStyle w:val="Footer"/>
      <w:rPr>
        <w:b/>
        <w:noProof/>
      </w:rPr>
    </w:pPr>
    <w:r w:rsidRPr="00DB248F">
      <w:rPr>
        <w:b/>
      </w:rPr>
      <w:t>This document does not represent final agency action on this matter and should not be viewed as a guarantee that any final action will follow in this or any other form</w:t>
    </w:r>
    <w:r>
      <w:rPr>
        <w:b/>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2DAE" w14:textId="77777777" w:rsidR="0035253F" w:rsidRDefault="0035253F">
      <w:r>
        <w:separator/>
      </w:r>
    </w:p>
  </w:footnote>
  <w:footnote w:type="continuationSeparator" w:id="0">
    <w:p w14:paraId="56BEFB64" w14:textId="77777777" w:rsidR="0035253F" w:rsidRDefault="0035253F">
      <w:r>
        <w:continuationSeparator/>
      </w:r>
    </w:p>
  </w:footnote>
  <w:footnote w:type="continuationNotice" w:id="1">
    <w:p w14:paraId="76755172" w14:textId="77777777" w:rsidR="0035253F" w:rsidRDefault="0035253F"/>
  </w:footnote>
  <w:footnote w:id="2">
    <w:p w14:paraId="7429D727" w14:textId="50793BCA" w:rsidR="00182725" w:rsidRDefault="00182725">
      <w:pPr>
        <w:pStyle w:val="FootnoteText"/>
      </w:pPr>
      <w:r>
        <w:rPr>
          <w:rStyle w:val="FootnoteReference"/>
        </w:rPr>
        <w:footnoteRef/>
      </w:r>
      <w:r>
        <w:t xml:space="preserve"> 49 CFR 830.2</w:t>
      </w:r>
    </w:p>
  </w:footnote>
  <w:footnote w:id="3">
    <w:p w14:paraId="25A028EF" w14:textId="04151476" w:rsidR="00182725" w:rsidRDefault="00182725">
      <w:pPr>
        <w:pStyle w:val="FootnoteText"/>
      </w:pPr>
      <w:r>
        <w:rPr>
          <w:rStyle w:val="FootnoteReference"/>
        </w:rPr>
        <w:footnoteRef/>
      </w:r>
      <w:r>
        <w:t xml:space="preserve"> These reports are available at </w:t>
      </w:r>
      <w:r w:rsidRPr="008C603D">
        <w:t>https://www.faa.gov/aircraft/air_cert/design_approvals/engine_prop/engine_sp_topics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0C75" w14:textId="54014D99" w:rsidR="00427430" w:rsidRDefault="00B251E2">
    <w:pPr>
      <w:pStyle w:val="Header"/>
    </w:pPr>
    <w:r>
      <w:rPr>
        <w:noProof/>
      </w:rPr>
      <w:pict w14:anchorId="46555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66" o:spid="_x0000_s1026" type="#_x0000_t136" style="position:absolute;margin-left:0;margin-top:0;width:629.1pt;height:30.65pt;rotation:315;z-index:-251655168;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256B" w14:textId="16E53931" w:rsidR="00427430" w:rsidRDefault="00B251E2">
    <w:pPr>
      <w:pStyle w:val="Header"/>
    </w:pPr>
    <w:r>
      <w:rPr>
        <w:noProof/>
      </w:rPr>
      <w:pict w14:anchorId="008F5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5" o:spid="_x0000_s1035" type="#_x0000_t136" style="position:absolute;margin-left:0;margin-top:0;width:629.1pt;height:30.65pt;rotation:315;z-index:-251636736;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133D" w14:textId="4737F22A" w:rsidR="00182725" w:rsidRDefault="00B251E2" w:rsidP="00762534">
    <w:pPr>
      <w:pStyle w:val="Header"/>
      <w:tabs>
        <w:tab w:val="left" w:pos="8317"/>
      </w:tabs>
      <w:jc w:val="center"/>
    </w:pPr>
    <w:r>
      <w:rPr>
        <w:noProof/>
      </w:rPr>
      <w:pict w14:anchorId="3D963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6" o:spid="_x0000_s1036" type="#_x0000_t136" style="position:absolute;left:0;text-align:left;margin-left:0;margin-top:0;width:629.1pt;height:30.65pt;rotation:315;z-index:-251634688;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r w:rsidR="00182725">
      <w:t>MM/DD/YYYY</w:t>
    </w:r>
    <w:r w:rsidR="00182725">
      <w:tab/>
      <w:t>PUBLIC COMMENT PHASE</w:t>
    </w:r>
    <w:r w:rsidR="00182725">
      <w:tab/>
    </w:r>
    <w:r w:rsidR="00182725">
      <w:tab/>
      <w:t>AC 39-8A</w:t>
    </w:r>
  </w:p>
  <w:p w14:paraId="660CF33C" w14:textId="77777777" w:rsidR="00182725" w:rsidRDefault="00182725" w:rsidP="000830CA">
    <w:pPr>
      <w:pStyle w:val="Header"/>
      <w:jc w:val="center"/>
    </w:pPr>
    <w:r>
      <w:tab/>
    </w:r>
    <w:r>
      <w:tab/>
      <w:t>Appendix 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0458" w14:textId="04FBB816" w:rsidR="00427430" w:rsidRDefault="00B251E2">
    <w:pPr>
      <w:pStyle w:val="Header"/>
    </w:pPr>
    <w:r>
      <w:rPr>
        <w:noProof/>
      </w:rPr>
      <w:pict w14:anchorId="046A8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4" o:spid="_x0000_s1034" type="#_x0000_t136" style="position:absolute;margin-left:0;margin-top:0;width:629.1pt;height:30.65pt;rotation:315;z-index:-251638784;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DDD4" w14:textId="4047FF5B" w:rsidR="00427430" w:rsidRDefault="00B251E2">
    <w:pPr>
      <w:pStyle w:val="Header"/>
    </w:pPr>
    <w:r>
      <w:rPr>
        <w:noProof/>
      </w:rPr>
      <w:pict w14:anchorId="28723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8" o:spid="_x0000_s1038" type="#_x0000_t136" style="position:absolute;margin-left:0;margin-top:0;width:629.1pt;height:30.65pt;rotation:315;z-index:-251630592;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9E3B" w14:textId="68E6C814" w:rsidR="00182725" w:rsidRDefault="00B251E2" w:rsidP="00762534">
    <w:pPr>
      <w:pStyle w:val="Header"/>
      <w:tabs>
        <w:tab w:val="left" w:pos="8317"/>
      </w:tabs>
      <w:jc w:val="center"/>
    </w:pPr>
    <w:r>
      <w:rPr>
        <w:noProof/>
      </w:rPr>
      <w:pict w14:anchorId="7489E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9" o:spid="_x0000_s1039" type="#_x0000_t136" style="position:absolute;left:0;text-align:left;margin-left:0;margin-top:0;width:629.1pt;height:30.65pt;rotation:315;z-index:-251628544;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r w:rsidR="00182725">
      <w:t>MM/DD/YYYY</w:t>
    </w:r>
    <w:r w:rsidR="00182725">
      <w:tab/>
      <w:t>PUBLIC COMMENT PHASE</w:t>
    </w:r>
    <w:r w:rsidR="00182725">
      <w:tab/>
    </w:r>
    <w:r w:rsidR="00182725">
      <w:tab/>
      <w:t>AC 39-8A</w:t>
    </w:r>
  </w:p>
  <w:p w14:paraId="6F8C0297" w14:textId="77777777" w:rsidR="00182725" w:rsidRDefault="00182725" w:rsidP="000830CA">
    <w:pPr>
      <w:pStyle w:val="Header"/>
      <w:jc w:val="center"/>
    </w:pPr>
    <w:r>
      <w:tab/>
    </w:r>
    <w:r>
      <w:tab/>
      <w:t>Appendix 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74B3" w14:textId="3131AB5D" w:rsidR="00427430" w:rsidRDefault="00B251E2">
    <w:pPr>
      <w:pStyle w:val="Header"/>
    </w:pPr>
    <w:r>
      <w:rPr>
        <w:noProof/>
      </w:rPr>
      <w:pict w14:anchorId="677FE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7" o:spid="_x0000_s1037" type="#_x0000_t136" style="position:absolute;margin-left:0;margin-top:0;width:629.1pt;height:30.65pt;rotation:315;z-index:-251632640;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B8C0" w14:textId="571FFBF7" w:rsidR="00427430" w:rsidRDefault="00B251E2">
    <w:pPr>
      <w:pStyle w:val="Header"/>
    </w:pPr>
    <w:r>
      <w:rPr>
        <w:noProof/>
      </w:rPr>
      <w:pict w14:anchorId="050CC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81" o:spid="_x0000_s1041" type="#_x0000_t136" style="position:absolute;margin-left:0;margin-top:0;width:629.1pt;height:30.65pt;rotation:315;z-index:-251624448;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670A" w14:textId="0C6BD160" w:rsidR="00182725" w:rsidRPr="00313E77" w:rsidRDefault="00B251E2" w:rsidP="00610816">
    <w:pPr>
      <w:pStyle w:val="Header"/>
      <w:rPr>
        <w:sz w:val="24"/>
      </w:rPr>
    </w:pPr>
    <w:r>
      <w:rPr>
        <w:noProof/>
      </w:rPr>
      <w:pict w14:anchorId="6F7C3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82" o:spid="_x0000_s1042" type="#_x0000_t136" style="position:absolute;margin-left:0;margin-top:0;width:629.1pt;height:30.65pt;rotation:315;z-index:-251622400;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r w:rsidR="00182725">
      <w:rPr>
        <w:sz w:val="24"/>
      </w:rPr>
      <w:t>MM/DD/YYYY</w:t>
    </w:r>
    <w:r w:rsidR="00182725">
      <w:rPr>
        <w:sz w:val="24"/>
      </w:rPr>
      <w:tab/>
      <w:t>PUBLIC COMMENT PHASE</w:t>
    </w:r>
    <w:r w:rsidR="00182725">
      <w:rPr>
        <w:sz w:val="24"/>
      </w:rPr>
      <w:tab/>
      <w:t>AC 39-8A</w:t>
    </w:r>
  </w:p>
  <w:p w14:paraId="1DAAB231" w14:textId="77777777" w:rsidR="00182725" w:rsidRPr="00F15ACB" w:rsidRDefault="00182725" w:rsidP="00610816">
    <w:pPr>
      <w:pStyle w:val="Header"/>
    </w:pPr>
    <w:r>
      <w:tab/>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EEF0" w14:textId="654DF7A5" w:rsidR="00427430" w:rsidRDefault="00B251E2">
    <w:pPr>
      <w:pStyle w:val="Header"/>
    </w:pPr>
    <w:r>
      <w:rPr>
        <w:noProof/>
      </w:rPr>
      <w:pict w14:anchorId="4417E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80" o:spid="_x0000_s1040" type="#_x0000_t136" style="position:absolute;margin-left:0;margin-top:0;width:629.1pt;height:30.65pt;rotation:315;z-index:-251626496;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F8DA" w14:textId="7924FD2C" w:rsidR="00182725" w:rsidRPr="003A3808" w:rsidRDefault="00B251E2" w:rsidP="003B69A2">
    <w:pPr>
      <w:pStyle w:val="Header"/>
      <w:jc w:val="center"/>
      <w:rPr>
        <w:sz w:val="24"/>
      </w:rPr>
    </w:pPr>
    <w:r>
      <w:rPr>
        <w:noProof/>
      </w:rPr>
      <w:pict w14:anchorId="704DF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67" o:spid="_x0000_s1027" type="#_x0000_t136" style="position:absolute;left:0;text-align:left;margin-left:0;margin-top:0;width:629.1pt;height:30.65pt;rotation:315;z-index:-251653120;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r w:rsidR="00182725" w:rsidRPr="003A3808">
      <w:rPr>
        <w:sz w:val="24"/>
      </w:rPr>
      <w:t>M</w:t>
    </w:r>
    <w:r w:rsidR="00182725">
      <w:rPr>
        <w:sz w:val="24"/>
      </w:rPr>
      <w:t>M/DD/YYYY</w:t>
    </w:r>
    <w:r w:rsidR="00182725">
      <w:rPr>
        <w:sz w:val="24"/>
      </w:rPr>
      <w:tab/>
      <w:t>PUBLIC COMMENT PHASE</w:t>
    </w:r>
    <w:r w:rsidR="00182725" w:rsidRPr="003A3808">
      <w:rPr>
        <w:sz w:val="24"/>
      </w:rPr>
      <w:tab/>
      <w:t>AC 39-8A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54F9" w14:textId="39767070" w:rsidR="00182725" w:rsidRPr="003A3808" w:rsidRDefault="00B251E2" w:rsidP="003A3808">
    <w:pPr>
      <w:pStyle w:val="Header"/>
      <w:jc w:val="center"/>
      <w:rPr>
        <w:sz w:val="24"/>
      </w:rPr>
    </w:pPr>
    <w:r>
      <w:rPr>
        <w:noProof/>
      </w:rPr>
      <w:pict w14:anchorId="33A76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65" o:spid="_x0000_s1025" type="#_x0000_t136" style="position:absolute;left:0;text-align:left;margin-left:0;margin-top:0;width:629.1pt;height:30.65pt;rotation:315;z-index:-251657216;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r w:rsidR="00182725">
      <w:rPr>
        <w:sz w:val="24"/>
      </w:rPr>
      <w:t>PUBLIC COMMENTS PHASE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A70B" w14:textId="238B1ED9" w:rsidR="00427430" w:rsidRDefault="00B251E2">
    <w:pPr>
      <w:pStyle w:val="Header"/>
    </w:pPr>
    <w:r>
      <w:rPr>
        <w:noProof/>
      </w:rPr>
      <w:pict w14:anchorId="7639D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69" o:spid="_x0000_s1029" type="#_x0000_t136" style="position:absolute;margin-left:0;margin-top:0;width:629.1pt;height:30.65pt;rotation:315;z-index:-251649024;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0241" w14:textId="5986A8CE" w:rsidR="00182725" w:rsidRDefault="00B251E2" w:rsidP="00762534">
    <w:pPr>
      <w:pStyle w:val="Header"/>
      <w:tabs>
        <w:tab w:val="left" w:pos="8317"/>
      </w:tabs>
      <w:jc w:val="center"/>
    </w:pPr>
    <w:r>
      <w:rPr>
        <w:noProof/>
      </w:rPr>
      <w:pict w14:anchorId="358F6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0" o:spid="_x0000_s1030" type="#_x0000_t136" style="position:absolute;left:0;text-align:left;margin-left:0;margin-top:0;width:629.1pt;height:30.65pt;rotation:315;z-index:-251646976;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r w:rsidR="00182725">
      <w:t>MM/DD/YYYY</w:t>
    </w:r>
    <w:r w:rsidR="00182725">
      <w:tab/>
      <w:t>PUBLIC COMMENT PHASE</w:t>
    </w:r>
    <w:r w:rsidR="00182725">
      <w:tab/>
    </w:r>
    <w:r w:rsidR="00182725">
      <w:tab/>
      <w:t>AC 39-8A</w:t>
    </w:r>
  </w:p>
  <w:p w14:paraId="5E305B1E" w14:textId="77777777" w:rsidR="00182725" w:rsidRDefault="00182725" w:rsidP="000830CA">
    <w:pPr>
      <w:pStyle w:val="Header"/>
      <w:jc w:val="center"/>
    </w:pPr>
    <w:r>
      <w:tab/>
    </w:r>
    <w:r>
      <w:tab/>
      <w:t>Appendix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E50D" w14:textId="05458B31" w:rsidR="00427430" w:rsidRDefault="00B251E2">
    <w:pPr>
      <w:pStyle w:val="Header"/>
    </w:pPr>
    <w:r>
      <w:rPr>
        <w:noProof/>
      </w:rPr>
      <w:pict w14:anchorId="3E3EA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68" o:spid="_x0000_s1028" type="#_x0000_t136" style="position:absolute;margin-left:0;margin-top:0;width:629.1pt;height:30.65pt;rotation:315;z-index:-251651072;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91AF" w14:textId="2E18688E" w:rsidR="00427430" w:rsidRDefault="00B251E2">
    <w:pPr>
      <w:pStyle w:val="Header"/>
    </w:pPr>
    <w:r>
      <w:rPr>
        <w:noProof/>
      </w:rPr>
      <w:pict w14:anchorId="01DD9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2" o:spid="_x0000_s1032" type="#_x0000_t136" style="position:absolute;margin-left:0;margin-top:0;width:629.1pt;height:30.65pt;rotation:315;z-index:-251642880;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738C" w14:textId="36FF786C" w:rsidR="00182725" w:rsidRDefault="00B251E2" w:rsidP="00762534">
    <w:pPr>
      <w:pStyle w:val="Header"/>
      <w:tabs>
        <w:tab w:val="left" w:pos="8317"/>
      </w:tabs>
      <w:jc w:val="center"/>
    </w:pPr>
    <w:r>
      <w:rPr>
        <w:noProof/>
      </w:rPr>
      <w:pict w14:anchorId="4A018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3" o:spid="_x0000_s1033" type="#_x0000_t136" style="position:absolute;left:0;text-align:left;margin-left:0;margin-top:0;width:629.1pt;height:30.65pt;rotation:315;z-index:-251640832;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r w:rsidR="00182725">
      <w:t>MM/DD/YYYY</w:t>
    </w:r>
    <w:r w:rsidR="00182725">
      <w:tab/>
      <w:t>PUBLIC COMMENT PHASE</w:t>
    </w:r>
    <w:r w:rsidR="00182725">
      <w:tab/>
    </w:r>
    <w:r w:rsidR="00182725">
      <w:tab/>
      <w:t>AC 39-8A</w:t>
    </w:r>
  </w:p>
  <w:p w14:paraId="00B09901" w14:textId="77777777" w:rsidR="00182725" w:rsidRDefault="00182725" w:rsidP="000830CA">
    <w:pPr>
      <w:pStyle w:val="Header"/>
      <w:jc w:val="center"/>
    </w:pPr>
    <w:r>
      <w:tab/>
    </w:r>
    <w:r>
      <w:tab/>
      <w:t>Appendix B</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6AEC" w14:textId="41120210" w:rsidR="00427430" w:rsidRDefault="00B251E2">
    <w:pPr>
      <w:pStyle w:val="Header"/>
    </w:pPr>
    <w:r>
      <w:rPr>
        <w:noProof/>
      </w:rPr>
      <w:pict w14:anchorId="0B93D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78771" o:spid="_x0000_s1031" type="#_x0000_t136" style="position:absolute;margin-left:0;margin-top:0;width:629.1pt;height:30.65pt;rotation:315;z-index:-251644928;mso-position-horizontal:center;mso-position-horizontal-relative:margin;mso-position-vertical:center;mso-position-vertical-relative:margin" o:allowincell="f" fillcolor="silver" stroked="f">
          <v:fill opacity=".5"/>
          <v:textpath style="font-family:&quot;Times New Roman&quot;;font-size:1pt" string="draft for AGC review for public com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4359"/>
    <w:multiLevelType w:val="hybridMultilevel"/>
    <w:tmpl w:val="38DA64DC"/>
    <w:lvl w:ilvl="0" w:tplc="460C8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4238"/>
    <w:multiLevelType w:val="multilevel"/>
    <w:tmpl w:val="F2AEAEC6"/>
    <w:styleLink w:val="ISO-ACNumberingdonotchangedelete"/>
    <w:lvl w:ilvl="0">
      <w:start w:val="1"/>
      <w:numFmt w:val="decimal"/>
      <w:pStyle w:val="Heading1"/>
      <w:isLgl/>
      <w:lvlText w:val="%1"/>
      <w:lvlJc w:val="left"/>
      <w:pPr>
        <w:tabs>
          <w:tab w:val="num" w:pos="864"/>
        </w:tabs>
        <w:ind w:left="864" w:hanging="864"/>
      </w:pPr>
      <w:rPr>
        <w:rFonts w:ascii="Times New Roman" w:hAnsi="Times New Roman" w:hint="default"/>
        <w:b w:val="0"/>
        <w:i w:val="0"/>
        <w:sz w:val="24"/>
      </w:rPr>
    </w:lvl>
    <w:lvl w:ilvl="1">
      <w:start w:val="1"/>
      <w:numFmt w:val="lowerLetter"/>
      <w:pStyle w:val="Heading2"/>
      <w:isLgl/>
      <w:lvlText w:val="%1.%2"/>
      <w:lvlJc w:val="left"/>
      <w:pPr>
        <w:tabs>
          <w:tab w:val="num" w:pos="864"/>
        </w:tabs>
        <w:ind w:left="864" w:hanging="864"/>
      </w:pPr>
      <w:rPr>
        <w:rFonts w:ascii="Times New Roman" w:hAnsi="Times New Roman" w:hint="default"/>
        <w:b w:val="0"/>
        <w:i w:val="0"/>
        <w:sz w:val="24"/>
      </w:rPr>
    </w:lvl>
    <w:lvl w:ilvl="2">
      <w:start w:val="1"/>
      <w:numFmt w:val="lowerRoman"/>
      <w:pStyle w:val="Heading3"/>
      <w:isLgl/>
      <w:lvlText w:val="%1.%2.%3"/>
      <w:lvlJc w:val="left"/>
      <w:pPr>
        <w:tabs>
          <w:tab w:val="num" w:pos="864"/>
        </w:tabs>
        <w:ind w:left="864" w:hanging="864"/>
      </w:pPr>
      <w:rPr>
        <w:rFonts w:ascii="Times New Roman" w:hAnsi="Times New Roman" w:hint="default"/>
        <w:b w:val="0"/>
        <w:i w:val="0"/>
        <w:sz w:val="24"/>
      </w:rPr>
    </w:lvl>
    <w:lvl w:ilvl="3">
      <w:start w:val="1"/>
      <w:numFmt w:val="decimal"/>
      <w:pStyle w:val="Heading4"/>
      <w:isLgl/>
      <w:lvlText w:val="%1.%2.%3.%4"/>
      <w:lvlJc w:val="left"/>
      <w:pPr>
        <w:tabs>
          <w:tab w:val="num" w:pos="2160"/>
        </w:tabs>
        <w:ind w:left="2160" w:hanging="1296"/>
      </w:pPr>
      <w:rPr>
        <w:rFonts w:ascii="Times New Roman" w:hAnsi="Times New Roman" w:hint="default"/>
        <w:b w:val="0"/>
        <w:i w:val="0"/>
        <w:sz w:val="24"/>
      </w:rPr>
    </w:lvl>
    <w:lvl w:ilvl="4">
      <w:start w:val="1"/>
      <w:numFmt w:val="lowerLetter"/>
      <w:pStyle w:val="Heading5"/>
      <w:isLgl/>
      <w:lvlText w:val="%1.%2.%3.%4.%5"/>
      <w:lvlJc w:val="left"/>
      <w:pPr>
        <w:tabs>
          <w:tab w:val="num" w:pos="2160"/>
        </w:tabs>
        <w:ind w:left="2160" w:hanging="1296"/>
      </w:pPr>
      <w:rPr>
        <w:rFonts w:ascii="Times New Roman" w:hAnsi="Times New Roman" w:hint="default"/>
        <w:b w:val="0"/>
        <w:i w:val="0"/>
        <w:sz w:val="24"/>
      </w:rPr>
    </w:lvl>
    <w:lvl w:ilvl="5">
      <w:start w:val="1"/>
      <w:numFmt w:val="upperLetter"/>
      <w:pStyle w:val="Heading6"/>
      <w:suff w:val="space"/>
      <w:lvlText w:val="Appendix %6."/>
      <w:lvlJc w:val="left"/>
      <w:pPr>
        <w:ind w:left="270" w:firstLine="0"/>
      </w:pPr>
      <w:rPr>
        <w:rFonts w:hint="default"/>
      </w:rPr>
    </w:lvl>
    <w:lvl w:ilvl="6">
      <w:start w:val="1"/>
      <w:numFmt w:val="decimal"/>
      <w:pStyle w:val="Heading7"/>
      <w:lvlText w:val="%6.%7"/>
      <w:lvlJc w:val="left"/>
      <w:pPr>
        <w:tabs>
          <w:tab w:val="num" w:pos="864"/>
        </w:tabs>
        <w:ind w:left="864" w:hanging="864"/>
      </w:pPr>
      <w:rPr>
        <w:rFonts w:ascii="Times New Roman" w:hAnsi="Times New Roman" w:hint="default"/>
        <w:b w:val="0"/>
        <w:i w:val="0"/>
        <w:sz w:val="24"/>
      </w:rPr>
    </w:lvl>
    <w:lvl w:ilvl="7">
      <w:start w:val="1"/>
      <w:numFmt w:val="decimal"/>
      <w:pStyle w:val="Heading8"/>
      <w:lvlText w:val="%6.%7.%8"/>
      <w:lvlJc w:val="left"/>
      <w:pPr>
        <w:tabs>
          <w:tab w:val="num" w:pos="1584"/>
        </w:tabs>
        <w:ind w:left="1584" w:hanging="864"/>
      </w:pPr>
      <w:rPr>
        <w:rFonts w:ascii="Times New Roman" w:hAnsi="Times New Roman" w:hint="default"/>
        <w:b w:val="0"/>
        <w:i w:val="0"/>
        <w:sz w:val="24"/>
      </w:rPr>
    </w:lvl>
    <w:lvl w:ilvl="8">
      <w:start w:val="1"/>
      <w:numFmt w:val="decimal"/>
      <w:pStyle w:val="Heading9"/>
      <w:lvlText w:val="%6.%7.%8.%9"/>
      <w:lvlJc w:val="left"/>
      <w:pPr>
        <w:tabs>
          <w:tab w:val="num" w:pos="864"/>
        </w:tabs>
        <w:ind w:left="864" w:hanging="864"/>
      </w:pPr>
      <w:rPr>
        <w:rFonts w:ascii="Times New Roman" w:hAnsi="Times New Roman" w:hint="default"/>
        <w:b w:val="0"/>
        <w:i w:val="0"/>
        <w:sz w:val="24"/>
      </w:rPr>
    </w:lvl>
  </w:abstractNum>
  <w:abstractNum w:abstractNumId="2" w15:restartNumberingAfterBreak="0">
    <w:nsid w:val="1AC11EA5"/>
    <w:multiLevelType w:val="singleLevel"/>
    <w:tmpl w:val="52864BC4"/>
    <w:lvl w:ilvl="0">
      <w:start w:val="1"/>
      <w:numFmt w:val="decimal"/>
      <w:pStyle w:val="13rdlevel"/>
      <w:lvlText w:val="(%1)"/>
      <w:lvlJc w:val="left"/>
      <w:pPr>
        <w:tabs>
          <w:tab w:val="num" w:pos="1080"/>
        </w:tabs>
        <w:ind w:left="0" w:firstLine="720"/>
      </w:pPr>
      <w:rPr>
        <w:rFonts w:ascii="Times New Roman" w:hAnsi="Times New Roman" w:hint="default"/>
        <w:b w:val="0"/>
        <w:i w:val="0"/>
        <w:caps w:val="0"/>
        <w:strike w:val="0"/>
        <w:dstrike w:val="0"/>
        <w:vanish w:val="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B51311C"/>
    <w:multiLevelType w:val="hybridMultilevel"/>
    <w:tmpl w:val="51EE9D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237045A4"/>
    <w:multiLevelType w:val="singleLevel"/>
    <w:tmpl w:val="56C09184"/>
    <w:lvl w:ilvl="0">
      <w:start w:val="1"/>
      <w:numFmt w:val="upperLetter"/>
      <w:pStyle w:val="A4thlevel"/>
      <w:lvlText w:val="(%1)"/>
      <w:lvlJc w:val="left"/>
      <w:pPr>
        <w:tabs>
          <w:tab w:val="num" w:pos="1584"/>
        </w:tabs>
        <w:ind w:left="0" w:firstLine="1224"/>
      </w:pPr>
      <w:rPr>
        <w:rFonts w:ascii="Times New Roman" w:hAnsi="Times New Roman" w:hint="default"/>
        <w:b w:val="0"/>
        <w:i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9358D8"/>
    <w:multiLevelType w:val="multilevel"/>
    <w:tmpl w:val="72A230C0"/>
    <w:styleLink w:val="ISO-ACNotesdonotchangedelete"/>
    <w:lvl w:ilvl="0">
      <w:start w:val="1"/>
      <w:numFmt w:val="none"/>
      <w:pStyle w:val="Levels1-3-Note"/>
      <w:suff w:val="space"/>
      <w:lvlText w:val="Note:"/>
      <w:lvlJc w:val="left"/>
      <w:pPr>
        <w:ind w:left="864" w:firstLine="0"/>
      </w:pPr>
      <w:rPr>
        <w:rFonts w:hint="default"/>
        <w:b/>
        <w:i w:val="0"/>
      </w:rPr>
    </w:lvl>
    <w:lvl w:ilvl="1">
      <w:start w:val="1"/>
      <w:numFmt w:val="none"/>
      <w:pStyle w:val="Levels4-5-Note"/>
      <w:suff w:val="space"/>
      <w:lvlText w:val="Note:"/>
      <w:lvlJc w:val="left"/>
      <w:pPr>
        <w:ind w:left="2160" w:firstLine="0"/>
      </w:pPr>
      <w:rPr>
        <w:rFonts w:hint="default"/>
        <w:b/>
        <w:i w:val="0"/>
      </w:rPr>
    </w:lvl>
    <w:lvl w:ilvl="2">
      <w:start w:val="1"/>
      <w:numFmt w:val="none"/>
      <w:suff w:val="space"/>
      <w:lvlText w:val="Note:"/>
      <w:lvlJc w:val="left"/>
      <w:pPr>
        <w:ind w:left="0" w:firstLine="0"/>
      </w:pPr>
      <w:rPr>
        <w:rFonts w:hint="default"/>
        <w:b/>
        <w:i w:val="0"/>
      </w:rPr>
    </w:lvl>
    <w:lvl w:ilvl="3">
      <w:start w:val="1"/>
      <w:numFmt w:val="none"/>
      <w:suff w:val="space"/>
      <w:lvlText w:val="Note:"/>
      <w:lvlJc w:val="left"/>
      <w:pPr>
        <w:ind w:left="907" w:hanging="907"/>
      </w:pPr>
      <w:rPr>
        <w:rFonts w:hint="default"/>
        <w:b/>
        <w:i w:val="0"/>
      </w:rPr>
    </w:lvl>
    <w:lvl w:ilvl="4">
      <w:start w:val="1"/>
      <w:numFmt w:val="none"/>
      <w:suff w:val="space"/>
      <w:lvlText w:val="Note:"/>
      <w:lvlJc w:val="left"/>
      <w:pPr>
        <w:ind w:left="0" w:firstLine="0"/>
      </w:pPr>
      <w:rPr>
        <w:rFonts w:hint="default"/>
        <w:b/>
        <w:i w:val="0"/>
      </w:rPr>
    </w:lvl>
    <w:lvl w:ilvl="5">
      <w:start w:val="1"/>
      <w:numFmt w:val="none"/>
      <w:suff w:val="space"/>
      <w:lvlText w:val="Note:"/>
      <w:lvlJc w:val="left"/>
      <w:pPr>
        <w:ind w:left="0" w:firstLine="0"/>
      </w:pPr>
      <w:rPr>
        <w:rFonts w:hint="default"/>
        <w:b/>
        <w:i w:val="0"/>
      </w:rPr>
    </w:lvl>
    <w:lvl w:ilvl="6">
      <w:start w:val="1"/>
      <w:numFmt w:val="none"/>
      <w:suff w:val="space"/>
      <w:lvlText w:val="Note:"/>
      <w:lvlJc w:val="left"/>
      <w:pPr>
        <w:ind w:left="0" w:firstLine="0"/>
      </w:pPr>
      <w:rPr>
        <w:rFonts w:hint="default"/>
        <w:b/>
        <w:i w:val="0"/>
      </w:rPr>
    </w:lvl>
    <w:lvl w:ilvl="7">
      <w:start w:val="1"/>
      <w:numFmt w:val="none"/>
      <w:suff w:val="space"/>
      <w:lvlText w:val="Note:"/>
      <w:lvlJc w:val="left"/>
      <w:pPr>
        <w:ind w:left="0" w:firstLine="0"/>
      </w:pPr>
      <w:rPr>
        <w:rFonts w:hint="default"/>
        <w:b/>
        <w:i w:val="0"/>
      </w:rPr>
    </w:lvl>
    <w:lvl w:ilvl="8">
      <w:start w:val="1"/>
      <w:numFmt w:val="none"/>
      <w:suff w:val="space"/>
      <w:lvlText w:val="Note:"/>
      <w:lvlJc w:val="left"/>
      <w:pPr>
        <w:ind w:left="0" w:firstLine="0"/>
      </w:pPr>
      <w:rPr>
        <w:rFonts w:hint="default"/>
        <w:b/>
        <w:i w:val="0"/>
      </w:rPr>
    </w:lvl>
  </w:abstractNum>
  <w:abstractNum w:abstractNumId="6" w15:restartNumberingAfterBreak="0">
    <w:nsid w:val="28A035A7"/>
    <w:multiLevelType w:val="multilevel"/>
    <w:tmpl w:val="1716F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736FB9"/>
    <w:multiLevelType w:val="hybridMultilevel"/>
    <w:tmpl w:val="012EC216"/>
    <w:lvl w:ilvl="0" w:tplc="37505400">
      <w:start w:val="1"/>
      <w:numFmt w:val="decimal"/>
      <w:pStyle w:val="Levels1-3-OrderedList"/>
      <w:lvlText w:val="%1."/>
      <w:lvlJc w:val="left"/>
      <w:pPr>
        <w:ind w:left="6120" w:hanging="360"/>
      </w:pPr>
      <w:rPr>
        <w:rFonts w:hint="default"/>
        <w:b w:val="0"/>
      </w:rPr>
    </w:lvl>
    <w:lvl w:ilvl="1" w:tplc="AC8E4668">
      <w:start w:val="1"/>
      <w:numFmt w:val="lowerLetter"/>
      <w:lvlText w:val="%2."/>
      <w:lvlJc w:val="left"/>
      <w:pPr>
        <w:ind w:left="1584" w:hanging="360"/>
      </w:pPr>
      <w:rPr>
        <w:rFonts w:hint="default"/>
      </w:rPr>
    </w:lvl>
    <w:lvl w:ilvl="2" w:tplc="67EC34DC">
      <w:start w:val="1"/>
      <w:numFmt w:val="lowerRoman"/>
      <w:lvlText w:val="%3."/>
      <w:lvlJc w:val="right"/>
      <w:pPr>
        <w:ind w:left="1944" w:hanging="360"/>
      </w:pPr>
      <w:rPr>
        <w:rFonts w:hint="default"/>
      </w:rPr>
    </w:lvl>
    <w:lvl w:ilvl="3" w:tplc="30FC8BA2">
      <w:start w:val="1"/>
      <w:numFmt w:val="decimal"/>
      <w:lvlText w:val="%4."/>
      <w:lvlJc w:val="left"/>
      <w:pPr>
        <w:ind w:left="2304"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E545A"/>
    <w:multiLevelType w:val="hybridMultilevel"/>
    <w:tmpl w:val="61D6D05E"/>
    <w:lvl w:ilvl="0" w:tplc="1EC4A518">
      <w:start w:val="1"/>
      <w:numFmt w:val="decimal"/>
      <w:pStyle w:val="Levels1-3-NumberedNotes"/>
      <w:suff w:val="space"/>
      <w:lvlText w:val="Note %1:"/>
      <w:lvlJc w:val="left"/>
      <w:pPr>
        <w:ind w:left="1944" w:firstLine="0"/>
      </w:pPr>
      <w:rPr>
        <w:rFonts w:hint="default"/>
        <w:b/>
        <w:i w:val="0"/>
      </w:rPr>
    </w:lvl>
    <w:lvl w:ilvl="1" w:tplc="04090019">
      <w:start w:val="1"/>
      <w:numFmt w:val="lowerLetter"/>
      <w:lvlText w:val="%2."/>
      <w:lvlJc w:val="left"/>
      <w:pPr>
        <w:ind w:left="10451" w:hanging="360"/>
      </w:pPr>
    </w:lvl>
    <w:lvl w:ilvl="2" w:tplc="0409001B" w:tentative="1">
      <w:start w:val="1"/>
      <w:numFmt w:val="lowerRoman"/>
      <w:lvlText w:val="%3."/>
      <w:lvlJc w:val="right"/>
      <w:pPr>
        <w:ind w:left="11171" w:hanging="180"/>
      </w:pPr>
    </w:lvl>
    <w:lvl w:ilvl="3" w:tplc="0409000F" w:tentative="1">
      <w:start w:val="1"/>
      <w:numFmt w:val="decimal"/>
      <w:lvlText w:val="%4."/>
      <w:lvlJc w:val="left"/>
      <w:pPr>
        <w:ind w:left="11891" w:hanging="360"/>
      </w:pPr>
    </w:lvl>
    <w:lvl w:ilvl="4" w:tplc="04090019" w:tentative="1">
      <w:start w:val="1"/>
      <w:numFmt w:val="lowerLetter"/>
      <w:lvlText w:val="%5."/>
      <w:lvlJc w:val="left"/>
      <w:pPr>
        <w:ind w:left="12611" w:hanging="360"/>
      </w:pPr>
    </w:lvl>
    <w:lvl w:ilvl="5" w:tplc="0409001B" w:tentative="1">
      <w:start w:val="1"/>
      <w:numFmt w:val="lowerRoman"/>
      <w:lvlText w:val="%6."/>
      <w:lvlJc w:val="right"/>
      <w:pPr>
        <w:ind w:left="13331" w:hanging="180"/>
      </w:pPr>
    </w:lvl>
    <w:lvl w:ilvl="6" w:tplc="0409000F" w:tentative="1">
      <w:start w:val="1"/>
      <w:numFmt w:val="decimal"/>
      <w:lvlText w:val="%7."/>
      <w:lvlJc w:val="left"/>
      <w:pPr>
        <w:ind w:left="14051" w:hanging="360"/>
      </w:pPr>
    </w:lvl>
    <w:lvl w:ilvl="7" w:tplc="04090019" w:tentative="1">
      <w:start w:val="1"/>
      <w:numFmt w:val="lowerLetter"/>
      <w:lvlText w:val="%8."/>
      <w:lvlJc w:val="left"/>
      <w:pPr>
        <w:ind w:left="14771" w:hanging="360"/>
      </w:pPr>
    </w:lvl>
    <w:lvl w:ilvl="8" w:tplc="0409001B" w:tentative="1">
      <w:start w:val="1"/>
      <w:numFmt w:val="lowerRoman"/>
      <w:lvlText w:val="%9."/>
      <w:lvlJc w:val="right"/>
      <w:pPr>
        <w:ind w:left="15491" w:hanging="180"/>
      </w:pPr>
    </w:lvl>
  </w:abstractNum>
  <w:abstractNum w:abstractNumId="9" w15:restartNumberingAfterBreak="0">
    <w:nsid w:val="4B2F11C8"/>
    <w:multiLevelType w:val="hybridMultilevel"/>
    <w:tmpl w:val="63E26A42"/>
    <w:lvl w:ilvl="0" w:tplc="6E1C8164">
      <w:start w:val="1"/>
      <w:numFmt w:val="bullet"/>
      <w:pStyle w:val="Levels4-5-Bullet"/>
      <w:lvlText w:val=""/>
      <w:lvlJc w:val="left"/>
      <w:pPr>
        <w:ind w:left="2520" w:hanging="360"/>
      </w:pPr>
      <w:rPr>
        <w:rFonts w:ascii="Symbol" w:hAnsi="Symbol" w:hint="default"/>
      </w:rPr>
    </w:lvl>
    <w:lvl w:ilvl="1" w:tplc="04090003" w:tentative="1">
      <w:start w:val="1"/>
      <w:numFmt w:val="bullet"/>
      <w:lvlText w:val="o"/>
      <w:lvlJc w:val="left"/>
      <w:pPr>
        <w:ind w:left="4118" w:hanging="360"/>
      </w:pPr>
      <w:rPr>
        <w:rFonts w:ascii="Courier New" w:hAnsi="Courier New" w:cs="Courier New" w:hint="default"/>
      </w:rPr>
    </w:lvl>
    <w:lvl w:ilvl="2" w:tplc="04090005" w:tentative="1">
      <w:start w:val="1"/>
      <w:numFmt w:val="bullet"/>
      <w:lvlText w:val=""/>
      <w:lvlJc w:val="left"/>
      <w:pPr>
        <w:ind w:left="4838" w:hanging="360"/>
      </w:pPr>
      <w:rPr>
        <w:rFonts w:ascii="Wingdings" w:hAnsi="Wingdings" w:hint="default"/>
      </w:rPr>
    </w:lvl>
    <w:lvl w:ilvl="3" w:tplc="04090001" w:tentative="1">
      <w:start w:val="1"/>
      <w:numFmt w:val="bullet"/>
      <w:lvlText w:val=""/>
      <w:lvlJc w:val="left"/>
      <w:pPr>
        <w:ind w:left="5558" w:hanging="360"/>
      </w:pPr>
      <w:rPr>
        <w:rFonts w:ascii="Symbol" w:hAnsi="Symbol" w:hint="default"/>
      </w:rPr>
    </w:lvl>
    <w:lvl w:ilvl="4" w:tplc="04090003" w:tentative="1">
      <w:start w:val="1"/>
      <w:numFmt w:val="bullet"/>
      <w:lvlText w:val="o"/>
      <w:lvlJc w:val="left"/>
      <w:pPr>
        <w:ind w:left="6278" w:hanging="360"/>
      </w:pPr>
      <w:rPr>
        <w:rFonts w:ascii="Courier New" w:hAnsi="Courier New" w:cs="Courier New" w:hint="default"/>
      </w:rPr>
    </w:lvl>
    <w:lvl w:ilvl="5" w:tplc="04090005" w:tentative="1">
      <w:start w:val="1"/>
      <w:numFmt w:val="bullet"/>
      <w:lvlText w:val=""/>
      <w:lvlJc w:val="left"/>
      <w:pPr>
        <w:ind w:left="6998" w:hanging="360"/>
      </w:pPr>
      <w:rPr>
        <w:rFonts w:ascii="Wingdings" w:hAnsi="Wingdings" w:hint="default"/>
      </w:rPr>
    </w:lvl>
    <w:lvl w:ilvl="6" w:tplc="04090001" w:tentative="1">
      <w:start w:val="1"/>
      <w:numFmt w:val="bullet"/>
      <w:lvlText w:val=""/>
      <w:lvlJc w:val="left"/>
      <w:pPr>
        <w:ind w:left="7718" w:hanging="360"/>
      </w:pPr>
      <w:rPr>
        <w:rFonts w:ascii="Symbol" w:hAnsi="Symbol" w:hint="default"/>
      </w:rPr>
    </w:lvl>
    <w:lvl w:ilvl="7" w:tplc="04090003" w:tentative="1">
      <w:start w:val="1"/>
      <w:numFmt w:val="bullet"/>
      <w:lvlText w:val="o"/>
      <w:lvlJc w:val="left"/>
      <w:pPr>
        <w:ind w:left="8438" w:hanging="360"/>
      </w:pPr>
      <w:rPr>
        <w:rFonts w:ascii="Courier New" w:hAnsi="Courier New" w:cs="Courier New" w:hint="default"/>
      </w:rPr>
    </w:lvl>
    <w:lvl w:ilvl="8" w:tplc="04090005" w:tentative="1">
      <w:start w:val="1"/>
      <w:numFmt w:val="bullet"/>
      <w:lvlText w:val=""/>
      <w:lvlJc w:val="left"/>
      <w:pPr>
        <w:ind w:left="9158" w:hanging="360"/>
      </w:pPr>
      <w:rPr>
        <w:rFonts w:ascii="Wingdings" w:hAnsi="Wingdings" w:hint="default"/>
      </w:rPr>
    </w:lvl>
  </w:abstractNum>
  <w:abstractNum w:abstractNumId="10" w15:restartNumberingAfterBreak="0">
    <w:nsid w:val="4C953296"/>
    <w:multiLevelType w:val="hybridMultilevel"/>
    <w:tmpl w:val="C60C5DD6"/>
    <w:lvl w:ilvl="0" w:tplc="04090001">
      <w:start w:val="1"/>
      <w:numFmt w:val="bullet"/>
      <w:lvlText w:val=""/>
      <w:lvlJc w:val="left"/>
      <w:pPr>
        <w:ind w:left="4470" w:hanging="360"/>
      </w:pPr>
      <w:rPr>
        <w:rFonts w:ascii="Symbol" w:hAnsi="Symbol"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11" w15:restartNumberingAfterBreak="0">
    <w:nsid w:val="4CB328A4"/>
    <w:multiLevelType w:val="hybridMultilevel"/>
    <w:tmpl w:val="CD442DB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645567AF"/>
    <w:multiLevelType w:val="hybridMultilevel"/>
    <w:tmpl w:val="28549DE2"/>
    <w:lvl w:ilvl="0" w:tplc="6472D87A">
      <w:start w:val="1"/>
      <w:numFmt w:val="decimal"/>
      <w:pStyle w:val="Levels4-5-OrderedList"/>
      <w:lvlText w:val="%1."/>
      <w:lvlJc w:val="left"/>
      <w:pPr>
        <w:ind w:left="2520" w:hanging="360"/>
      </w:pPr>
      <w:rPr>
        <w:rFonts w:hint="default"/>
      </w:rPr>
    </w:lvl>
    <w:lvl w:ilvl="1" w:tplc="FD7410CA">
      <w:start w:val="1"/>
      <w:numFmt w:val="lowerLetter"/>
      <w:lvlText w:val="%2."/>
      <w:lvlJc w:val="left"/>
      <w:pPr>
        <w:ind w:left="2880" w:hanging="360"/>
      </w:pPr>
      <w:rPr>
        <w:rFonts w:hint="default"/>
      </w:rPr>
    </w:lvl>
    <w:lvl w:ilvl="2" w:tplc="84CE3412">
      <w:start w:val="1"/>
      <w:numFmt w:val="lowerRoman"/>
      <w:lvlText w:val="%3."/>
      <w:lvlJc w:val="right"/>
      <w:pPr>
        <w:ind w:left="3240" w:hanging="360"/>
      </w:pPr>
      <w:rPr>
        <w:rFonts w:hint="default"/>
      </w:rPr>
    </w:lvl>
    <w:lvl w:ilvl="3" w:tplc="CE78645C">
      <w:start w:val="1"/>
      <w:numFmt w:val="decimal"/>
      <w:lvlText w:val="%4."/>
      <w:lvlJc w:val="left"/>
      <w:pPr>
        <w:ind w:left="36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71797"/>
    <w:multiLevelType w:val="multilevel"/>
    <w:tmpl w:val="49525AF8"/>
    <w:lvl w:ilvl="0">
      <w:start w:val="1"/>
      <w:numFmt w:val="decimal"/>
      <w:lvlText w:val="%1."/>
      <w:lvlJc w:val="left"/>
      <w:pPr>
        <w:tabs>
          <w:tab w:val="num" w:pos="360"/>
        </w:tabs>
        <w:ind w:left="0" w:firstLine="0"/>
      </w:pPr>
      <w:rPr>
        <w:rFonts w:hint="default"/>
        <w:b/>
        <w:i w:val="0"/>
      </w:rPr>
    </w:lvl>
    <w:lvl w:ilvl="1">
      <w:start w:val="1"/>
      <w:numFmt w:val="lowerLetter"/>
      <w:lvlText w:val="%2."/>
      <w:lvlJc w:val="left"/>
      <w:pPr>
        <w:tabs>
          <w:tab w:val="num" w:pos="720"/>
        </w:tabs>
        <w:ind w:left="0" w:firstLine="360"/>
      </w:pPr>
      <w:rPr>
        <w:rFonts w:hint="default"/>
      </w:rPr>
    </w:lvl>
    <w:lvl w:ilvl="2">
      <w:start w:val="1"/>
      <w:numFmt w:val="decimal"/>
      <w:lvlRestart w:val="0"/>
      <w:pStyle w:val="1-1stlevel"/>
      <w:lvlText w:val="%3."/>
      <w:lvlJc w:val="left"/>
      <w:pPr>
        <w:tabs>
          <w:tab w:val="num" w:pos="360"/>
        </w:tabs>
        <w:ind w:left="0" w:firstLine="0"/>
      </w:pPr>
      <w:rPr>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D319E0"/>
    <w:multiLevelType w:val="multilevel"/>
    <w:tmpl w:val="8D4050A0"/>
    <w:lvl w:ilvl="0">
      <w:start w:val="1"/>
      <w:numFmt w:val="lowerLetter"/>
      <w:pStyle w:val="a2ndlevel"/>
      <w:lvlText w:val="%1."/>
      <w:lvlJc w:val="left"/>
      <w:pPr>
        <w:tabs>
          <w:tab w:val="num" w:pos="720"/>
        </w:tabs>
        <w:ind w:left="0" w:firstLine="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360" w:firstLine="720"/>
      </w:pPr>
      <w:rPr>
        <w:rFonts w:hint="default"/>
        <w:b w:val="0"/>
        <w:i w:val="0"/>
      </w:rPr>
    </w:lvl>
    <w:lvl w:ilvl="2">
      <w:start w:val="1"/>
      <w:numFmt w:val="lowerLetter"/>
      <w:lvlText w:val="%3."/>
      <w:lvlJc w:val="left"/>
      <w:pPr>
        <w:tabs>
          <w:tab w:val="num" w:pos="720"/>
        </w:tabs>
        <w:ind w:left="0" w:firstLine="360"/>
      </w:pPr>
      <w:rPr>
        <w:rFonts w:hint="default"/>
      </w:rPr>
    </w:lvl>
    <w:lvl w:ilvl="3">
      <w:start w:val="1"/>
      <w:numFmt w:val="decimal"/>
      <w:pStyle w:val="Subparagraph1"/>
      <w:lvlText w:val="(%4)"/>
      <w:lvlJc w:val="left"/>
      <w:pPr>
        <w:tabs>
          <w:tab w:val="num" w:pos="2880"/>
        </w:tabs>
        <w:ind w:left="1800" w:firstLine="720"/>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234158D"/>
    <w:multiLevelType w:val="hybridMultilevel"/>
    <w:tmpl w:val="F4B69F9C"/>
    <w:lvl w:ilvl="0" w:tplc="BF90860C">
      <w:start w:val="1"/>
      <w:numFmt w:val="bullet"/>
      <w:pStyle w:val="Levels1-3-Bullet"/>
      <w:lvlText w:val=""/>
      <w:lvlJc w:val="left"/>
      <w:pPr>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07E10"/>
    <w:multiLevelType w:val="hybridMultilevel"/>
    <w:tmpl w:val="0B169788"/>
    <w:lvl w:ilvl="0" w:tplc="B4826C30">
      <w:start w:val="1"/>
      <w:numFmt w:val="decimal"/>
      <w:pStyle w:val="Levels4-5-NumberedNotes"/>
      <w:suff w:val="space"/>
      <w:lvlText w:val="Note %1:"/>
      <w:lvlJc w:val="left"/>
      <w:pPr>
        <w:ind w:left="2160" w:firstLine="0"/>
      </w:pPr>
      <w:rPr>
        <w:rFonts w:hint="default"/>
        <w:b/>
        <w:i w:val="0"/>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num w:numId="1" w16cid:durableId="1828086056">
    <w:abstractNumId w:val="8"/>
  </w:num>
  <w:num w:numId="2" w16cid:durableId="413623078">
    <w:abstractNumId w:val="16"/>
  </w:num>
  <w:num w:numId="3" w16cid:durableId="1620410189">
    <w:abstractNumId w:val="9"/>
  </w:num>
  <w:num w:numId="4" w16cid:durableId="344408920">
    <w:abstractNumId w:val="15"/>
  </w:num>
  <w:num w:numId="5" w16cid:durableId="1451823635">
    <w:abstractNumId w:val="1"/>
    <w:lvlOverride w:ilvl="0">
      <w:lvl w:ilvl="0">
        <w:start w:val="1"/>
        <w:numFmt w:val="decimal"/>
        <w:pStyle w:val="Heading1"/>
        <w:isLgl/>
        <w:lvlText w:val="%1"/>
        <w:lvlJc w:val="left"/>
        <w:pPr>
          <w:tabs>
            <w:tab w:val="num" w:pos="864"/>
          </w:tabs>
          <w:ind w:left="864" w:hanging="864"/>
        </w:pPr>
        <w:rPr>
          <w:rFonts w:ascii="Times New Roman" w:hAnsi="Times New Roman" w:hint="default"/>
          <w:b w:val="0"/>
          <w:i w:val="0"/>
          <w:sz w:val="24"/>
        </w:rPr>
      </w:lvl>
    </w:lvlOverride>
    <w:lvlOverride w:ilvl="1">
      <w:lvl w:ilvl="1">
        <w:start w:val="1"/>
        <w:numFmt w:val="lowerLetter"/>
        <w:pStyle w:val="Heading2"/>
        <w:isLgl/>
        <w:lvlText w:val="%1.%2"/>
        <w:lvlJc w:val="left"/>
        <w:pPr>
          <w:tabs>
            <w:tab w:val="num" w:pos="864"/>
          </w:tabs>
          <w:ind w:left="864" w:hanging="864"/>
        </w:pPr>
        <w:rPr>
          <w:rFonts w:ascii="Times New Roman" w:hAnsi="Times New Roman" w:hint="default"/>
          <w:b w:val="0"/>
          <w:i w:val="0"/>
          <w:sz w:val="24"/>
        </w:rPr>
      </w:lvl>
    </w:lvlOverride>
    <w:lvlOverride w:ilvl="2">
      <w:lvl w:ilvl="2">
        <w:start w:val="1"/>
        <w:numFmt w:val="lowerRoman"/>
        <w:pStyle w:val="Heading3"/>
        <w:isLgl/>
        <w:lvlText w:val="%1.%2.%3"/>
        <w:lvlJc w:val="left"/>
        <w:pPr>
          <w:tabs>
            <w:tab w:val="num" w:pos="864"/>
          </w:tabs>
          <w:ind w:left="864" w:hanging="864"/>
        </w:pPr>
        <w:rPr>
          <w:rFonts w:ascii="Times New Roman" w:hAnsi="Times New Roman" w:hint="default"/>
          <w:b w:val="0"/>
          <w:i w:val="0"/>
          <w:sz w:val="24"/>
        </w:rPr>
      </w:lvl>
    </w:lvlOverride>
    <w:lvlOverride w:ilvl="3">
      <w:lvl w:ilvl="3">
        <w:start w:val="1"/>
        <w:numFmt w:val="decimal"/>
        <w:pStyle w:val="Heading4"/>
        <w:isLgl/>
        <w:lvlText w:val="%1.%2.%3.%4"/>
        <w:lvlJc w:val="left"/>
        <w:pPr>
          <w:tabs>
            <w:tab w:val="num" w:pos="2160"/>
          </w:tabs>
          <w:ind w:left="2160" w:hanging="1296"/>
        </w:pPr>
        <w:rPr>
          <w:rFonts w:ascii="Times New Roman" w:hAnsi="Times New Roman" w:hint="default"/>
          <w:b w:val="0"/>
          <w:i w:val="0"/>
          <w:sz w:val="24"/>
        </w:rPr>
      </w:lvl>
    </w:lvlOverride>
    <w:lvlOverride w:ilvl="4">
      <w:lvl w:ilvl="4">
        <w:start w:val="1"/>
        <w:numFmt w:val="lowerLetter"/>
        <w:pStyle w:val="Heading5"/>
        <w:isLgl/>
        <w:lvlText w:val="%1.%2.%3.%4.%5"/>
        <w:lvlJc w:val="left"/>
        <w:pPr>
          <w:tabs>
            <w:tab w:val="num" w:pos="2160"/>
          </w:tabs>
          <w:ind w:left="2160" w:hanging="1296"/>
        </w:pPr>
        <w:rPr>
          <w:rFonts w:ascii="Times New Roman" w:hAnsi="Times New Roman" w:hint="default"/>
          <w:b w:val="0"/>
          <w:i w:val="0"/>
          <w:sz w:val="24"/>
        </w:rPr>
      </w:lvl>
    </w:lvlOverride>
    <w:lvlOverride w:ilvl="5">
      <w:lvl w:ilvl="5">
        <w:start w:val="1"/>
        <w:numFmt w:val="upperLetter"/>
        <w:pStyle w:val="Heading6"/>
        <w:suff w:val="space"/>
        <w:lvlText w:val="Appendix %6."/>
        <w:lvlJc w:val="left"/>
        <w:pPr>
          <w:ind w:left="189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lvlText w:val="%6.%7"/>
        <w:lvlJc w:val="left"/>
        <w:pPr>
          <w:tabs>
            <w:tab w:val="num" w:pos="864"/>
          </w:tabs>
          <w:ind w:left="864" w:hanging="864"/>
        </w:pPr>
      </w:lvl>
    </w:lvlOverride>
    <w:lvlOverride w:ilvl="7">
      <w:lvl w:ilvl="7">
        <w:start w:val="1"/>
        <w:numFmt w:val="decimal"/>
        <w:pStyle w:val="Heading8"/>
        <w:lvlText w:val="%6.%7.%8"/>
        <w:lvlJc w:val="left"/>
        <w:pPr>
          <w:tabs>
            <w:tab w:val="num" w:pos="1584"/>
          </w:tabs>
          <w:ind w:left="1584" w:hanging="864"/>
        </w:pPr>
        <w:rPr>
          <w:rFonts w:ascii="Times New Roman" w:hAnsi="Times New Roman" w:hint="default"/>
          <w:b w:val="0"/>
          <w:i w:val="0"/>
          <w:sz w:val="24"/>
        </w:rPr>
      </w:lvl>
    </w:lvlOverride>
    <w:lvlOverride w:ilvl="8">
      <w:lvl w:ilvl="8">
        <w:start w:val="1"/>
        <w:numFmt w:val="decimal"/>
        <w:pStyle w:val="Heading9"/>
        <w:lvlText w:val="%6.%7.%8.%9"/>
        <w:lvlJc w:val="left"/>
        <w:pPr>
          <w:tabs>
            <w:tab w:val="num" w:pos="864"/>
          </w:tabs>
          <w:ind w:left="864" w:hanging="864"/>
        </w:pPr>
        <w:rPr>
          <w:rFonts w:ascii="Times New Roman" w:hAnsi="Times New Roman" w:hint="default"/>
          <w:b w:val="0"/>
          <w:i w:val="0"/>
          <w:sz w:val="24"/>
        </w:rPr>
      </w:lvl>
    </w:lvlOverride>
  </w:num>
  <w:num w:numId="6" w16cid:durableId="1071079091">
    <w:abstractNumId w:val="5"/>
    <w:lvlOverride w:ilvl="0">
      <w:lvl w:ilvl="0">
        <w:start w:val="1"/>
        <w:numFmt w:val="none"/>
        <w:pStyle w:val="Levels1-3-Note"/>
        <w:suff w:val="space"/>
        <w:lvlText w:val="Note:"/>
        <w:lvlJc w:val="left"/>
        <w:pPr>
          <w:ind w:left="4860" w:firstLine="0"/>
        </w:pPr>
        <w:rPr>
          <w:rFonts w:hint="default"/>
          <w:b/>
          <w:i w:val="0"/>
          <w:color w:val="auto"/>
        </w:rPr>
      </w:lvl>
    </w:lvlOverride>
  </w:num>
  <w:num w:numId="7" w16cid:durableId="2116822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836579">
    <w:abstractNumId w:val="7"/>
  </w:num>
  <w:num w:numId="9" w16cid:durableId="1466044459">
    <w:abstractNumId w:val="12"/>
  </w:num>
  <w:num w:numId="10" w16cid:durableId="508132881">
    <w:abstractNumId w:val="11"/>
  </w:num>
  <w:num w:numId="11" w16cid:durableId="1462268423">
    <w:abstractNumId w:val="1"/>
  </w:num>
  <w:num w:numId="12" w16cid:durableId="172376325">
    <w:abstractNumId w:val="5"/>
  </w:num>
  <w:num w:numId="13" w16cid:durableId="849832377">
    <w:abstractNumId w:val="2"/>
  </w:num>
  <w:num w:numId="14" w16cid:durableId="633143317">
    <w:abstractNumId w:val="14"/>
  </w:num>
  <w:num w:numId="15" w16cid:durableId="1379237525">
    <w:abstractNumId w:val="4"/>
  </w:num>
  <w:num w:numId="16" w16cid:durableId="1851750494">
    <w:abstractNumId w:val="13"/>
  </w:num>
  <w:num w:numId="17" w16cid:durableId="1404570450">
    <w:abstractNumId w:val="6"/>
  </w:num>
  <w:num w:numId="18" w16cid:durableId="1445886813">
    <w:abstractNumId w:val="0"/>
  </w:num>
  <w:num w:numId="19" w16cid:durableId="1748922942">
    <w:abstractNumId w:val="10"/>
  </w:num>
  <w:num w:numId="20" w16cid:durableId="2080134788">
    <w:abstractNumId w:val="1"/>
    <w:lvlOverride w:ilvl="0">
      <w:lvl w:ilvl="0">
        <w:start w:val="1"/>
        <w:numFmt w:val="decimal"/>
        <w:pStyle w:val="Heading1"/>
        <w:isLgl/>
        <w:lvlText w:val="%1"/>
        <w:lvlJc w:val="left"/>
        <w:pPr>
          <w:tabs>
            <w:tab w:val="num" w:pos="864"/>
          </w:tabs>
          <w:ind w:left="864" w:hanging="864"/>
        </w:pPr>
        <w:rPr>
          <w:rFonts w:ascii="Times New Roman" w:hAnsi="Times New Roman" w:hint="default"/>
          <w:b w:val="0"/>
          <w:i w:val="0"/>
          <w:sz w:val="24"/>
        </w:rPr>
      </w:lvl>
    </w:lvlOverride>
    <w:lvlOverride w:ilvl="1">
      <w:lvl w:ilvl="1">
        <w:start w:val="1"/>
        <w:numFmt w:val="lowerLetter"/>
        <w:pStyle w:val="Heading2"/>
        <w:isLgl/>
        <w:lvlText w:val="%1.%2"/>
        <w:lvlJc w:val="left"/>
        <w:pPr>
          <w:tabs>
            <w:tab w:val="num" w:pos="864"/>
          </w:tabs>
          <w:ind w:left="864" w:hanging="864"/>
        </w:pPr>
        <w:rPr>
          <w:rFonts w:ascii="Times New Roman" w:hAnsi="Times New Roman" w:hint="default"/>
          <w:b w:val="0"/>
          <w:i w:val="0"/>
          <w:sz w:val="24"/>
        </w:rPr>
      </w:lvl>
    </w:lvlOverride>
    <w:lvlOverride w:ilvl="2">
      <w:lvl w:ilvl="2">
        <w:start w:val="1"/>
        <w:numFmt w:val="lowerRoman"/>
        <w:pStyle w:val="Heading3"/>
        <w:isLgl/>
        <w:lvlText w:val="%1.%2.%3"/>
        <w:lvlJc w:val="left"/>
        <w:pPr>
          <w:tabs>
            <w:tab w:val="num" w:pos="864"/>
          </w:tabs>
          <w:ind w:left="864" w:hanging="864"/>
        </w:pPr>
        <w:rPr>
          <w:rFonts w:ascii="Times New Roman" w:hAnsi="Times New Roman" w:hint="default"/>
          <w:b w:val="0"/>
          <w:i w:val="0"/>
          <w:sz w:val="24"/>
        </w:rPr>
      </w:lvl>
    </w:lvlOverride>
    <w:lvlOverride w:ilvl="3">
      <w:lvl w:ilvl="3">
        <w:start w:val="1"/>
        <w:numFmt w:val="decimal"/>
        <w:pStyle w:val="Heading4"/>
        <w:isLgl/>
        <w:lvlText w:val="%1.%2.%3.%4"/>
        <w:lvlJc w:val="left"/>
        <w:pPr>
          <w:tabs>
            <w:tab w:val="num" w:pos="2160"/>
          </w:tabs>
          <w:ind w:left="2160" w:hanging="1296"/>
        </w:pPr>
        <w:rPr>
          <w:rFonts w:ascii="Times New Roman" w:hAnsi="Times New Roman" w:hint="default"/>
          <w:b w:val="0"/>
          <w:i w:val="0"/>
          <w:sz w:val="24"/>
        </w:rPr>
      </w:lvl>
    </w:lvlOverride>
    <w:lvlOverride w:ilvl="4">
      <w:lvl w:ilvl="4">
        <w:start w:val="1"/>
        <w:numFmt w:val="lowerLetter"/>
        <w:pStyle w:val="Heading5"/>
        <w:isLgl/>
        <w:lvlText w:val="%1.%2.%3.%4.%5"/>
        <w:lvlJc w:val="left"/>
        <w:pPr>
          <w:tabs>
            <w:tab w:val="num" w:pos="2160"/>
          </w:tabs>
          <w:ind w:left="2160" w:hanging="1296"/>
        </w:pPr>
        <w:rPr>
          <w:rFonts w:ascii="Times New Roman" w:hAnsi="Times New Roman" w:hint="default"/>
          <w:b w:val="0"/>
          <w:i w:val="0"/>
          <w:sz w:val="24"/>
        </w:rPr>
      </w:lvl>
    </w:lvlOverride>
    <w:lvlOverride w:ilvl="5">
      <w:lvl w:ilvl="5">
        <w:start w:val="1"/>
        <w:numFmt w:val="upperLetter"/>
        <w:pStyle w:val="Heading6"/>
        <w:suff w:val="space"/>
        <w:lvlText w:val="Appendix %6."/>
        <w:lvlJc w:val="left"/>
        <w:pPr>
          <w:ind w:left="270" w:firstLine="0"/>
        </w:pPr>
        <w:rPr>
          <w:rFonts w:hint="default"/>
        </w:rPr>
      </w:lvl>
    </w:lvlOverride>
    <w:lvlOverride w:ilvl="6">
      <w:lvl w:ilvl="6">
        <w:start w:val="1"/>
        <w:numFmt w:val="decimal"/>
        <w:pStyle w:val="Heading7"/>
        <w:lvlText w:val="%6.%7"/>
        <w:lvlJc w:val="left"/>
        <w:pPr>
          <w:tabs>
            <w:tab w:val="num" w:pos="864"/>
          </w:tabs>
          <w:ind w:left="864" w:hanging="864"/>
        </w:pPr>
        <w:rPr>
          <w:rFonts w:ascii="Times New Roman" w:hAnsi="Times New Roman" w:hint="default"/>
          <w:b w:val="0"/>
          <w:i w:val="0"/>
          <w:sz w:val="24"/>
        </w:rPr>
      </w:lvl>
    </w:lvlOverride>
    <w:lvlOverride w:ilvl="7">
      <w:lvl w:ilvl="7">
        <w:start w:val="1"/>
        <w:numFmt w:val="decimal"/>
        <w:pStyle w:val="Heading8"/>
        <w:lvlText w:val="%6.%7.%8"/>
        <w:lvlJc w:val="left"/>
        <w:pPr>
          <w:tabs>
            <w:tab w:val="num" w:pos="1584"/>
          </w:tabs>
          <w:ind w:left="1584" w:hanging="864"/>
        </w:pPr>
        <w:rPr>
          <w:rFonts w:ascii="Times New Roman" w:hAnsi="Times New Roman" w:hint="default"/>
          <w:b w:val="0"/>
          <w:i w:val="0"/>
          <w:sz w:val="24"/>
        </w:rPr>
      </w:lvl>
    </w:lvlOverride>
    <w:lvlOverride w:ilvl="8">
      <w:lvl w:ilvl="8">
        <w:start w:val="1"/>
        <w:numFmt w:val="decimal"/>
        <w:pStyle w:val="Heading9"/>
        <w:lvlText w:val="%6.%7.%8.%9"/>
        <w:lvlJc w:val="left"/>
        <w:pPr>
          <w:tabs>
            <w:tab w:val="num" w:pos="864"/>
          </w:tabs>
          <w:ind w:left="864" w:hanging="864"/>
        </w:pPr>
        <w:rPr>
          <w:rFonts w:ascii="Times New Roman" w:hAnsi="Times New Roman" w:hint="default"/>
          <w:b w:val="0"/>
          <w:i w:val="0"/>
          <w:sz w:val="24"/>
        </w:rPr>
      </w:lvl>
    </w:lvlOverride>
  </w:num>
  <w:num w:numId="21" w16cid:durableId="863400145">
    <w:abstractNumId w:val="1"/>
    <w:lvlOverride w:ilvl="0">
      <w:lvl w:ilvl="0">
        <w:start w:val="1"/>
        <w:numFmt w:val="decimal"/>
        <w:pStyle w:val="Heading1"/>
        <w:isLgl/>
        <w:lvlText w:val="%1"/>
        <w:lvlJc w:val="left"/>
        <w:pPr>
          <w:tabs>
            <w:tab w:val="num" w:pos="864"/>
          </w:tabs>
          <w:ind w:left="864" w:hanging="864"/>
        </w:pPr>
        <w:rPr>
          <w:rFonts w:ascii="Times New Roman" w:hAnsi="Times New Roman" w:hint="default"/>
          <w:b w:val="0"/>
          <w:i w:val="0"/>
          <w:sz w:val="24"/>
        </w:rPr>
      </w:lvl>
    </w:lvlOverride>
    <w:lvlOverride w:ilvl="1">
      <w:lvl w:ilvl="1">
        <w:start w:val="1"/>
        <w:numFmt w:val="lowerLetter"/>
        <w:pStyle w:val="Heading2"/>
        <w:isLgl/>
        <w:lvlText w:val="%1.%2"/>
        <w:lvlJc w:val="left"/>
        <w:pPr>
          <w:tabs>
            <w:tab w:val="num" w:pos="864"/>
          </w:tabs>
          <w:ind w:left="864" w:hanging="864"/>
        </w:pPr>
        <w:rPr>
          <w:rFonts w:ascii="Times New Roman" w:hAnsi="Times New Roman" w:hint="default"/>
          <w:b w:val="0"/>
          <w:i w:val="0"/>
          <w:sz w:val="24"/>
        </w:rPr>
      </w:lvl>
    </w:lvlOverride>
    <w:lvlOverride w:ilvl="2">
      <w:lvl w:ilvl="2">
        <w:start w:val="1"/>
        <w:numFmt w:val="lowerRoman"/>
        <w:pStyle w:val="Heading3"/>
        <w:isLgl/>
        <w:lvlText w:val="%1.%2.%3"/>
        <w:lvlJc w:val="left"/>
        <w:pPr>
          <w:tabs>
            <w:tab w:val="num" w:pos="864"/>
          </w:tabs>
          <w:ind w:left="864" w:hanging="864"/>
        </w:pPr>
        <w:rPr>
          <w:rFonts w:ascii="Times New Roman" w:hAnsi="Times New Roman" w:hint="default"/>
          <w:b w:val="0"/>
          <w:i w:val="0"/>
          <w:sz w:val="24"/>
        </w:rPr>
      </w:lvl>
    </w:lvlOverride>
    <w:lvlOverride w:ilvl="3">
      <w:lvl w:ilvl="3">
        <w:start w:val="1"/>
        <w:numFmt w:val="decimal"/>
        <w:pStyle w:val="Heading4"/>
        <w:isLgl/>
        <w:lvlText w:val="%1.%2.%3.%4"/>
        <w:lvlJc w:val="left"/>
        <w:pPr>
          <w:tabs>
            <w:tab w:val="num" w:pos="2160"/>
          </w:tabs>
          <w:ind w:left="2160" w:hanging="1296"/>
        </w:pPr>
        <w:rPr>
          <w:rFonts w:ascii="Times New Roman" w:hAnsi="Times New Roman" w:hint="default"/>
          <w:b w:val="0"/>
          <w:i w:val="0"/>
          <w:sz w:val="24"/>
        </w:rPr>
      </w:lvl>
    </w:lvlOverride>
    <w:lvlOverride w:ilvl="4">
      <w:lvl w:ilvl="4">
        <w:start w:val="1"/>
        <w:numFmt w:val="lowerLetter"/>
        <w:pStyle w:val="Heading5"/>
        <w:isLgl/>
        <w:lvlText w:val="%1.%2.%3.%4.%5"/>
        <w:lvlJc w:val="left"/>
        <w:pPr>
          <w:tabs>
            <w:tab w:val="num" w:pos="2160"/>
          </w:tabs>
          <w:ind w:left="2160" w:hanging="1296"/>
        </w:pPr>
        <w:rPr>
          <w:rFonts w:ascii="Times New Roman" w:hAnsi="Times New Roman" w:hint="default"/>
          <w:b w:val="0"/>
          <w:i w:val="0"/>
          <w:sz w:val="24"/>
        </w:rPr>
      </w:lvl>
    </w:lvlOverride>
    <w:lvlOverride w:ilvl="5">
      <w:lvl w:ilvl="5">
        <w:start w:val="1"/>
        <w:numFmt w:val="upperLetter"/>
        <w:pStyle w:val="Heading6"/>
        <w:suff w:val="space"/>
        <w:lvlText w:val="Appendix %6."/>
        <w:lvlJc w:val="left"/>
        <w:pPr>
          <w:ind w:left="189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lvlText w:val="%6.%7"/>
        <w:lvlJc w:val="left"/>
        <w:pPr>
          <w:tabs>
            <w:tab w:val="num" w:pos="864"/>
          </w:tabs>
          <w:ind w:left="864" w:hanging="864"/>
        </w:pPr>
        <w:rPr>
          <w:rFonts w:ascii="Times New Roman" w:hAnsi="Times New Roman" w:hint="default"/>
          <w:b w:val="0"/>
          <w:i w:val="0"/>
          <w:sz w:val="24"/>
        </w:rPr>
      </w:lvl>
    </w:lvlOverride>
    <w:lvlOverride w:ilvl="7">
      <w:lvl w:ilvl="7">
        <w:start w:val="1"/>
        <w:numFmt w:val="decimal"/>
        <w:pStyle w:val="Heading8"/>
        <w:lvlText w:val="%6.%7.%8"/>
        <w:lvlJc w:val="left"/>
        <w:pPr>
          <w:tabs>
            <w:tab w:val="num" w:pos="1584"/>
          </w:tabs>
          <w:ind w:left="1584" w:hanging="864"/>
        </w:pPr>
        <w:rPr>
          <w:rFonts w:ascii="Times New Roman" w:hAnsi="Times New Roman" w:hint="default"/>
          <w:b w:val="0"/>
          <w:i w:val="0"/>
          <w:sz w:val="24"/>
        </w:rPr>
      </w:lvl>
    </w:lvlOverride>
    <w:lvlOverride w:ilvl="8">
      <w:lvl w:ilvl="8">
        <w:start w:val="1"/>
        <w:numFmt w:val="decimal"/>
        <w:pStyle w:val="Heading9"/>
        <w:lvlText w:val="%6.%7.%8.%9"/>
        <w:lvlJc w:val="left"/>
        <w:pPr>
          <w:tabs>
            <w:tab w:val="num" w:pos="864"/>
          </w:tabs>
          <w:ind w:left="864" w:hanging="864"/>
        </w:pPr>
        <w:rPr>
          <w:rFonts w:ascii="Times New Roman" w:hAnsi="Times New Roman" w:hint="default"/>
          <w:b w:val="0"/>
          <w:i w:val="0"/>
          <w:sz w:val="24"/>
        </w:rPr>
      </w:lvl>
    </w:lvlOverride>
  </w:num>
  <w:num w:numId="22" w16cid:durableId="372579487">
    <w:abstractNumId w:val="1"/>
    <w:lvlOverride w:ilvl="0">
      <w:lvl w:ilvl="0">
        <w:start w:val="1"/>
        <w:numFmt w:val="decimal"/>
        <w:pStyle w:val="Heading1"/>
        <w:isLgl/>
        <w:lvlText w:val="%1"/>
        <w:lvlJc w:val="left"/>
        <w:pPr>
          <w:tabs>
            <w:tab w:val="num" w:pos="864"/>
          </w:tabs>
          <w:ind w:left="864" w:hanging="864"/>
        </w:pPr>
        <w:rPr>
          <w:rFonts w:ascii="Times New Roman" w:hAnsi="Times New Roman" w:hint="default"/>
          <w:b w:val="0"/>
          <w:i w:val="0"/>
          <w:sz w:val="24"/>
        </w:rPr>
      </w:lvl>
    </w:lvlOverride>
    <w:lvlOverride w:ilvl="1">
      <w:lvl w:ilvl="1">
        <w:start w:val="1"/>
        <w:numFmt w:val="lowerLetter"/>
        <w:pStyle w:val="Heading2"/>
        <w:isLgl/>
        <w:lvlText w:val="%1.%2"/>
        <w:lvlJc w:val="left"/>
        <w:pPr>
          <w:tabs>
            <w:tab w:val="num" w:pos="864"/>
          </w:tabs>
          <w:ind w:left="864" w:hanging="864"/>
        </w:pPr>
        <w:rPr>
          <w:rFonts w:ascii="Times New Roman" w:hAnsi="Times New Roman" w:hint="default"/>
          <w:b w:val="0"/>
          <w:i w:val="0"/>
          <w:sz w:val="24"/>
        </w:rPr>
      </w:lvl>
    </w:lvlOverride>
    <w:lvlOverride w:ilvl="2">
      <w:lvl w:ilvl="2">
        <w:start w:val="1"/>
        <w:numFmt w:val="lowerRoman"/>
        <w:pStyle w:val="Heading3"/>
        <w:isLgl/>
        <w:lvlText w:val="%1.%2.%3"/>
        <w:lvlJc w:val="left"/>
        <w:pPr>
          <w:tabs>
            <w:tab w:val="num" w:pos="864"/>
          </w:tabs>
          <w:ind w:left="864" w:hanging="864"/>
        </w:pPr>
        <w:rPr>
          <w:rFonts w:ascii="Times New Roman" w:hAnsi="Times New Roman" w:hint="default"/>
          <w:b w:val="0"/>
          <w:i w:val="0"/>
          <w:sz w:val="24"/>
        </w:rPr>
      </w:lvl>
    </w:lvlOverride>
    <w:lvlOverride w:ilvl="3">
      <w:lvl w:ilvl="3">
        <w:start w:val="1"/>
        <w:numFmt w:val="decimal"/>
        <w:pStyle w:val="Heading4"/>
        <w:isLgl/>
        <w:lvlText w:val="%1.%2.%3.%4"/>
        <w:lvlJc w:val="left"/>
        <w:pPr>
          <w:tabs>
            <w:tab w:val="num" w:pos="2160"/>
          </w:tabs>
          <w:ind w:left="2160" w:hanging="1296"/>
        </w:pPr>
        <w:rPr>
          <w:rFonts w:ascii="Times New Roman" w:hAnsi="Times New Roman" w:hint="default"/>
          <w:b w:val="0"/>
          <w:i w:val="0"/>
          <w:sz w:val="24"/>
        </w:rPr>
      </w:lvl>
    </w:lvlOverride>
    <w:lvlOverride w:ilvl="4">
      <w:lvl w:ilvl="4">
        <w:start w:val="1"/>
        <w:numFmt w:val="lowerLetter"/>
        <w:pStyle w:val="Heading5"/>
        <w:isLgl/>
        <w:lvlText w:val="%1.%2.%3.%4.%5"/>
        <w:lvlJc w:val="left"/>
        <w:pPr>
          <w:tabs>
            <w:tab w:val="num" w:pos="2160"/>
          </w:tabs>
          <w:ind w:left="2160" w:hanging="1296"/>
        </w:pPr>
        <w:rPr>
          <w:rFonts w:ascii="Times New Roman" w:hAnsi="Times New Roman" w:hint="default"/>
          <w:b w:val="0"/>
          <w:i w:val="0"/>
          <w:sz w:val="24"/>
        </w:rPr>
      </w:lvl>
    </w:lvlOverride>
    <w:lvlOverride w:ilvl="5">
      <w:lvl w:ilvl="5">
        <w:start w:val="1"/>
        <w:numFmt w:val="upperLetter"/>
        <w:pStyle w:val="Heading6"/>
        <w:suff w:val="space"/>
        <w:lvlText w:val="Appendix %6."/>
        <w:lvlJc w:val="left"/>
        <w:pPr>
          <w:ind w:left="189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lvlText w:val="%6.%7"/>
        <w:lvlJc w:val="left"/>
        <w:pPr>
          <w:tabs>
            <w:tab w:val="num" w:pos="864"/>
          </w:tabs>
          <w:ind w:left="864" w:hanging="864"/>
        </w:pPr>
        <w:rPr>
          <w:rFonts w:ascii="Times New Roman" w:hAnsi="Times New Roman" w:hint="default"/>
          <w:b w:val="0"/>
          <w:i w:val="0"/>
          <w:sz w:val="24"/>
        </w:rPr>
      </w:lvl>
    </w:lvlOverride>
    <w:lvlOverride w:ilvl="7">
      <w:lvl w:ilvl="7">
        <w:start w:val="1"/>
        <w:numFmt w:val="decimal"/>
        <w:pStyle w:val="Heading8"/>
        <w:lvlText w:val="%6.%7.%8"/>
        <w:lvlJc w:val="left"/>
        <w:pPr>
          <w:tabs>
            <w:tab w:val="num" w:pos="1584"/>
          </w:tabs>
          <w:ind w:left="1584" w:hanging="864"/>
        </w:pPr>
        <w:rPr>
          <w:rFonts w:ascii="Times New Roman" w:hAnsi="Times New Roman" w:hint="default"/>
          <w:b w:val="0"/>
          <w:i w:val="0"/>
          <w:sz w:val="24"/>
        </w:rPr>
      </w:lvl>
    </w:lvlOverride>
    <w:lvlOverride w:ilvl="8">
      <w:lvl w:ilvl="8">
        <w:start w:val="1"/>
        <w:numFmt w:val="decimal"/>
        <w:pStyle w:val="Heading9"/>
        <w:lvlText w:val="%6.%7.%8.%9"/>
        <w:lvlJc w:val="left"/>
        <w:pPr>
          <w:tabs>
            <w:tab w:val="num" w:pos="864"/>
          </w:tabs>
          <w:ind w:left="864" w:hanging="864"/>
        </w:pPr>
        <w:rPr>
          <w:rFonts w:ascii="Times New Roman" w:hAnsi="Times New Roman" w:hint="default"/>
          <w:b w:val="0"/>
          <w:i w:val="0"/>
          <w:sz w:val="24"/>
        </w:rPr>
      </w:lvl>
    </w:lvlOverride>
  </w:num>
  <w:num w:numId="23" w16cid:durableId="2142576401">
    <w:abstractNumId w:val="3"/>
  </w:num>
  <w:num w:numId="24" w16cid:durableId="1700201173">
    <w:abstractNumId w:val="15"/>
  </w:num>
  <w:num w:numId="25" w16cid:durableId="1223099528">
    <w:abstractNumId w:val="8"/>
    <w:lvlOverride w:ilvl="0">
      <w:startOverride w:val="1"/>
    </w:lvlOverride>
  </w:num>
  <w:num w:numId="26" w16cid:durableId="9781944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CF"/>
    <w:rsid w:val="00000496"/>
    <w:rsid w:val="00000F7A"/>
    <w:rsid w:val="000010EE"/>
    <w:rsid w:val="00001B2C"/>
    <w:rsid w:val="00001BD5"/>
    <w:rsid w:val="00001FEF"/>
    <w:rsid w:val="000022B8"/>
    <w:rsid w:val="00002412"/>
    <w:rsid w:val="000031B0"/>
    <w:rsid w:val="00003501"/>
    <w:rsid w:val="0000394B"/>
    <w:rsid w:val="00004109"/>
    <w:rsid w:val="00005462"/>
    <w:rsid w:val="00006380"/>
    <w:rsid w:val="000063F1"/>
    <w:rsid w:val="00006546"/>
    <w:rsid w:val="00006AAD"/>
    <w:rsid w:val="000072A6"/>
    <w:rsid w:val="00007B5D"/>
    <w:rsid w:val="00007D19"/>
    <w:rsid w:val="000107D0"/>
    <w:rsid w:val="00010AEF"/>
    <w:rsid w:val="00010E76"/>
    <w:rsid w:val="000112D2"/>
    <w:rsid w:val="00011EA9"/>
    <w:rsid w:val="00012A76"/>
    <w:rsid w:val="000132D2"/>
    <w:rsid w:val="00013531"/>
    <w:rsid w:val="00013875"/>
    <w:rsid w:val="00013D6D"/>
    <w:rsid w:val="00014265"/>
    <w:rsid w:val="000160CE"/>
    <w:rsid w:val="00016FDC"/>
    <w:rsid w:val="000174FE"/>
    <w:rsid w:val="00020AAC"/>
    <w:rsid w:val="000214B8"/>
    <w:rsid w:val="0002195B"/>
    <w:rsid w:val="00022342"/>
    <w:rsid w:val="000237DA"/>
    <w:rsid w:val="00023C17"/>
    <w:rsid w:val="00024FAD"/>
    <w:rsid w:val="00026436"/>
    <w:rsid w:val="0002682B"/>
    <w:rsid w:val="000268FE"/>
    <w:rsid w:val="000271DF"/>
    <w:rsid w:val="000278DE"/>
    <w:rsid w:val="00027D61"/>
    <w:rsid w:val="00030F1C"/>
    <w:rsid w:val="00031377"/>
    <w:rsid w:val="00031D35"/>
    <w:rsid w:val="0003299D"/>
    <w:rsid w:val="000329BD"/>
    <w:rsid w:val="00032B5A"/>
    <w:rsid w:val="00033E19"/>
    <w:rsid w:val="0003483E"/>
    <w:rsid w:val="00034FBB"/>
    <w:rsid w:val="00035BD9"/>
    <w:rsid w:val="00035C16"/>
    <w:rsid w:val="00037358"/>
    <w:rsid w:val="00037511"/>
    <w:rsid w:val="000377BC"/>
    <w:rsid w:val="00037FD4"/>
    <w:rsid w:val="00040474"/>
    <w:rsid w:val="00040518"/>
    <w:rsid w:val="00040937"/>
    <w:rsid w:val="00041C52"/>
    <w:rsid w:val="00042939"/>
    <w:rsid w:val="00044A89"/>
    <w:rsid w:val="00046152"/>
    <w:rsid w:val="00047538"/>
    <w:rsid w:val="00047D8B"/>
    <w:rsid w:val="00050EE1"/>
    <w:rsid w:val="00050F7F"/>
    <w:rsid w:val="0005183A"/>
    <w:rsid w:val="00051DF3"/>
    <w:rsid w:val="000529DB"/>
    <w:rsid w:val="000535F4"/>
    <w:rsid w:val="00053613"/>
    <w:rsid w:val="00053EC7"/>
    <w:rsid w:val="000541D5"/>
    <w:rsid w:val="00055B6B"/>
    <w:rsid w:val="0005695A"/>
    <w:rsid w:val="00056BEE"/>
    <w:rsid w:val="00057966"/>
    <w:rsid w:val="00057ACB"/>
    <w:rsid w:val="00057C42"/>
    <w:rsid w:val="00057F75"/>
    <w:rsid w:val="00060738"/>
    <w:rsid w:val="00060BF4"/>
    <w:rsid w:val="00060F96"/>
    <w:rsid w:val="00060FBC"/>
    <w:rsid w:val="0006160B"/>
    <w:rsid w:val="000619D0"/>
    <w:rsid w:val="0006207F"/>
    <w:rsid w:val="00062200"/>
    <w:rsid w:val="00062ECD"/>
    <w:rsid w:val="0006323D"/>
    <w:rsid w:val="00063813"/>
    <w:rsid w:val="000638F0"/>
    <w:rsid w:val="00063DAE"/>
    <w:rsid w:val="00063EDA"/>
    <w:rsid w:val="00064365"/>
    <w:rsid w:val="00065136"/>
    <w:rsid w:val="0006559D"/>
    <w:rsid w:val="0006583B"/>
    <w:rsid w:val="00066162"/>
    <w:rsid w:val="00066E8A"/>
    <w:rsid w:val="000678D0"/>
    <w:rsid w:val="00067D82"/>
    <w:rsid w:val="000709A9"/>
    <w:rsid w:val="00071487"/>
    <w:rsid w:val="00071DF8"/>
    <w:rsid w:val="000737D9"/>
    <w:rsid w:val="00074430"/>
    <w:rsid w:val="000745A8"/>
    <w:rsid w:val="0007478E"/>
    <w:rsid w:val="00074FE0"/>
    <w:rsid w:val="00075675"/>
    <w:rsid w:val="000758AD"/>
    <w:rsid w:val="00075A5E"/>
    <w:rsid w:val="00075CF0"/>
    <w:rsid w:val="00077252"/>
    <w:rsid w:val="000777C1"/>
    <w:rsid w:val="0007790F"/>
    <w:rsid w:val="00077B2F"/>
    <w:rsid w:val="00080015"/>
    <w:rsid w:val="00080270"/>
    <w:rsid w:val="000808C0"/>
    <w:rsid w:val="00080935"/>
    <w:rsid w:val="00081836"/>
    <w:rsid w:val="00082460"/>
    <w:rsid w:val="000830CA"/>
    <w:rsid w:val="00083178"/>
    <w:rsid w:val="000831ED"/>
    <w:rsid w:val="00085076"/>
    <w:rsid w:val="000855F2"/>
    <w:rsid w:val="00085A66"/>
    <w:rsid w:val="00086BD8"/>
    <w:rsid w:val="00086D09"/>
    <w:rsid w:val="0008750D"/>
    <w:rsid w:val="00087AB0"/>
    <w:rsid w:val="00087AC8"/>
    <w:rsid w:val="00090604"/>
    <w:rsid w:val="00091409"/>
    <w:rsid w:val="00091DF1"/>
    <w:rsid w:val="00092776"/>
    <w:rsid w:val="0009295B"/>
    <w:rsid w:val="00092FCE"/>
    <w:rsid w:val="00093172"/>
    <w:rsid w:val="00093AD7"/>
    <w:rsid w:val="000942CF"/>
    <w:rsid w:val="000955E3"/>
    <w:rsid w:val="00095D77"/>
    <w:rsid w:val="00096941"/>
    <w:rsid w:val="000972A3"/>
    <w:rsid w:val="000975A4"/>
    <w:rsid w:val="0009791B"/>
    <w:rsid w:val="00097C49"/>
    <w:rsid w:val="000A0138"/>
    <w:rsid w:val="000A158A"/>
    <w:rsid w:val="000A2E08"/>
    <w:rsid w:val="000A2E71"/>
    <w:rsid w:val="000A3325"/>
    <w:rsid w:val="000A3D53"/>
    <w:rsid w:val="000A4125"/>
    <w:rsid w:val="000A4999"/>
    <w:rsid w:val="000A6EAD"/>
    <w:rsid w:val="000B0BBC"/>
    <w:rsid w:val="000B0C4E"/>
    <w:rsid w:val="000B0DC6"/>
    <w:rsid w:val="000B19EF"/>
    <w:rsid w:val="000B22F6"/>
    <w:rsid w:val="000B2A48"/>
    <w:rsid w:val="000B2EA7"/>
    <w:rsid w:val="000B3E16"/>
    <w:rsid w:val="000B4231"/>
    <w:rsid w:val="000B48B4"/>
    <w:rsid w:val="000B4DC3"/>
    <w:rsid w:val="000B5071"/>
    <w:rsid w:val="000B570C"/>
    <w:rsid w:val="000B5AB6"/>
    <w:rsid w:val="000B7BF4"/>
    <w:rsid w:val="000C0305"/>
    <w:rsid w:val="000C067E"/>
    <w:rsid w:val="000C10EB"/>
    <w:rsid w:val="000C11BD"/>
    <w:rsid w:val="000C129C"/>
    <w:rsid w:val="000C1409"/>
    <w:rsid w:val="000C1CCA"/>
    <w:rsid w:val="000C286A"/>
    <w:rsid w:val="000C29CC"/>
    <w:rsid w:val="000C370C"/>
    <w:rsid w:val="000C376F"/>
    <w:rsid w:val="000C3AE3"/>
    <w:rsid w:val="000C3CDB"/>
    <w:rsid w:val="000C4573"/>
    <w:rsid w:val="000C4E8C"/>
    <w:rsid w:val="000C50B4"/>
    <w:rsid w:val="000C6550"/>
    <w:rsid w:val="000C6CB3"/>
    <w:rsid w:val="000C7A73"/>
    <w:rsid w:val="000D0752"/>
    <w:rsid w:val="000D11D4"/>
    <w:rsid w:val="000D12A8"/>
    <w:rsid w:val="000D170B"/>
    <w:rsid w:val="000D17AF"/>
    <w:rsid w:val="000D18C1"/>
    <w:rsid w:val="000D1B03"/>
    <w:rsid w:val="000D1B72"/>
    <w:rsid w:val="000D1D81"/>
    <w:rsid w:val="000D2620"/>
    <w:rsid w:val="000D2656"/>
    <w:rsid w:val="000D28F5"/>
    <w:rsid w:val="000D3881"/>
    <w:rsid w:val="000D4E67"/>
    <w:rsid w:val="000D5322"/>
    <w:rsid w:val="000D6559"/>
    <w:rsid w:val="000D6683"/>
    <w:rsid w:val="000E09A5"/>
    <w:rsid w:val="000E09F1"/>
    <w:rsid w:val="000E0C15"/>
    <w:rsid w:val="000E1C17"/>
    <w:rsid w:val="000E2291"/>
    <w:rsid w:val="000E3387"/>
    <w:rsid w:val="000E3E2D"/>
    <w:rsid w:val="000E443D"/>
    <w:rsid w:val="000E44E5"/>
    <w:rsid w:val="000E4AA2"/>
    <w:rsid w:val="000E4B6E"/>
    <w:rsid w:val="000E5299"/>
    <w:rsid w:val="000E577D"/>
    <w:rsid w:val="000E5DEB"/>
    <w:rsid w:val="000E660F"/>
    <w:rsid w:val="000E69D6"/>
    <w:rsid w:val="000E7E1A"/>
    <w:rsid w:val="000E7F7E"/>
    <w:rsid w:val="000F1206"/>
    <w:rsid w:val="000F12F8"/>
    <w:rsid w:val="000F185D"/>
    <w:rsid w:val="000F2398"/>
    <w:rsid w:val="000F2E09"/>
    <w:rsid w:val="000F2EBD"/>
    <w:rsid w:val="000F3F95"/>
    <w:rsid w:val="000F4714"/>
    <w:rsid w:val="000F5FFD"/>
    <w:rsid w:val="000F63EE"/>
    <w:rsid w:val="000F688A"/>
    <w:rsid w:val="00100370"/>
    <w:rsid w:val="00100881"/>
    <w:rsid w:val="00100957"/>
    <w:rsid w:val="00101154"/>
    <w:rsid w:val="00101393"/>
    <w:rsid w:val="001015E5"/>
    <w:rsid w:val="0010165B"/>
    <w:rsid w:val="00101DD0"/>
    <w:rsid w:val="00101EB8"/>
    <w:rsid w:val="0010255B"/>
    <w:rsid w:val="00103898"/>
    <w:rsid w:val="00103F62"/>
    <w:rsid w:val="00104BC3"/>
    <w:rsid w:val="00104CAC"/>
    <w:rsid w:val="00105D40"/>
    <w:rsid w:val="00106392"/>
    <w:rsid w:val="0010667F"/>
    <w:rsid w:val="00106890"/>
    <w:rsid w:val="00106A9A"/>
    <w:rsid w:val="00106AC7"/>
    <w:rsid w:val="00106B74"/>
    <w:rsid w:val="00106CDD"/>
    <w:rsid w:val="00106F02"/>
    <w:rsid w:val="00107542"/>
    <w:rsid w:val="00107A96"/>
    <w:rsid w:val="00107FE5"/>
    <w:rsid w:val="001106CD"/>
    <w:rsid w:val="001109BA"/>
    <w:rsid w:val="00111015"/>
    <w:rsid w:val="0011117E"/>
    <w:rsid w:val="00111B03"/>
    <w:rsid w:val="00112282"/>
    <w:rsid w:val="001129A9"/>
    <w:rsid w:val="00113388"/>
    <w:rsid w:val="00113D55"/>
    <w:rsid w:val="00115314"/>
    <w:rsid w:val="00115DD4"/>
    <w:rsid w:val="00116369"/>
    <w:rsid w:val="00116398"/>
    <w:rsid w:val="00116F90"/>
    <w:rsid w:val="001177B3"/>
    <w:rsid w:val="00117B1F"/>
    <w:rsid w:val="00117CF4"/>
    <w:rsid w:val="00117D53"/>
    <w:rsid w:val="001200EE"/>
    <w:rsid w:val="00120616"/>
    <w:rsid w:val="0012086D"/>
    <w:rsid w:val="00120C03"/>
    <w:rsid w:val="00122561"/>
    <w:rsid w:val="00122DF8"/>
    <w:rsid w:val="00123325"/>
    <w:rsid w:val="00123D31"/>
    <w:rsid w:val="0012529D"/>
    <w:rsid w:val="00125A81"/>
    <w:rsid w:val="001265D8"/>
    <w:rsid w:val="00126DFE"/>
    <w:rsid w:val="00127231"/>
    <w:rsid w:val="001302F0"/>
    <w:rsid w:val="00131F59"/>
    <w:rsid w:val="00133AC4"/>
    <w:rsid w:val="001341B9"/>
    <w:rsid w:val="00134315"/>
    <w:rsid w:val="0013548B"/>
    <w:rsid w:val="00135AF1"/>
    <w:rsid w:val="0013623A"/>
    <w:rsid w:val="00137651"/>
    <w:rsid w:val="00137CA3"/>
    <w:rsid w:val="00140079"/>
    <w:rsid w:val="00140F0E"/>
    <w:rsid w:val="00140FC9"/>
    <w:rsid w:val="00141450"/>
    <w:rsid w:val="001414E1"/>
    <w:rsid w:val="001417E8"/>
    <w:rsid w:val="00141D4E"/>
    <w:rsid w:val="0014228B"/>
    <w:rsid w:val="001423C8"/>
    <w:rsid w:val="00142710"/>
    <w:rsid w:val="00142A9C"/>
    <w:rsid w:val="0014326B"/>
    <w:rsid w:val="00143436"/>
    <w:rsid w:val="001447BC"/>
    <w:rsid w:val="001447F6"/>
    <w:rsid w:val="00144AF0"/>
    <w:rsid w:val="001456AB"/>
    <w:rsid w:val="001459EE"/>
    <w:rsid w:val="00146110"/>
    <w:rsid w:val="00146679"/>
    <w:rsid w:val="00146CC1"/>
    <w:rsid w:val="001476A3"/>
    <w:rsid w:val="001478E5"/>
    <w:rsid w:val="00150A91"/>
    <w:rsid w:val="00151273"/>
    <w:rsid w:val="00151E72"/>
    <w:rsid w:val="0015254F"/>
    <w:rsid w:val="001530A9"/>
    <w:rsid w:val="0015378E"/>
    <w:rsid w:val="001539E7"/>
    <w:rsid w:val="00153D58"/>
    <w:rsid w:val="00154057"/>
    <w:rsid w:val="00154AFD"/>
    <w:rsid w:val="00154E7B"/>
    <w:rsid w:val="00155140"/>
    <w:rsid w:val="00155666"/>
    <w:rsid w:val="001558A4"/>
    <w:rsid w:val="00155B52"/>
    <w:rsid w:val="00156AA7"/>
    <w:rsid w:val="00156AAA"/>
    <w:rsid w:val="00156DC7"/>
    <w:rsid w:val="001575AD"/>
    <w:rsid w:val="00157AA8"/>
    <w:rsid w:val="00157DF0"/>
    <w:rsid w:val="0016062A"/>
    <w:rsid w:val="0016095A"/>
    <w:rsid w:val="0016097E"/>
    <w:rsid w:val="00161550"/>
    <w:rsid w:val="00161E25"/>
    <w:rsid w:val="0016253D"/>
    <w:rsid w:val="00162C9C"/>
    <w:rsid w:val="00162F4E"/>
    <w:rsid w:val="0016363F"/>
    <w:rsid w:val="001640B4"/>
    <w:rsid w:val="0016459A"/>
    <w:rsid w:val="00164EF5"/>
    <w:rsid w:val="001658C5"/>
    <w:rsid w:val="001668DF"/>
    <w:rsid w:val="00167049"/>
    <w:rsid w:val="00167914"/>
    <w:rsid w:val="00167BE2"/>
    <w:rsid w:val="00170107"/>
    <w:rsid w:val="001701BF"/>
    <w:rsid w:val="0017071E"/>
    <w:rsid w:val="001708C1"/>
    <w:rsid w:val="00170C83"/>
    <w:rsid w:val="00170FF2"/>
    <w:rsid w:val="001726FC"/>
    <w:rsid w:val="001727AC"/>
    <w:rsid w:val="001735DD"/>
    <w:rsid w:val="00173C20"/>
    <w:rsid w:val="001741FF"/>
    <w:rsid w:val="00174400"/>
    <w:rsid w:val="00174909"/>
    <w:rsid w:val="001755B4"/>
    <w:rsid w:val="00175E6B"/>
    <w:rsid w:val="0017628A"/>
    <w:rsid w:val="00176D11"/>
    <w:rsid w:val="00176D1D"/>
    <w:rsid w:val="00177497"/>
    <w:rsid w:val="00177A04"/>
    <w:rsid w:val="00177D59"/>
    <w:rsid w:val="00182041"/>
    <w:rsid w:val="00182309"/>
    <w:rsid w:val="00182725"/>
    <w:rsid w:val="00182B62"/>
    <w:rsid w:val="00182CEC"/>
    <w:rsid w:val="00182D17"/>
    <w:rsid w:val="00183BE7"/>
    <w:rsid w:val="001846EC"/>
    <w:rsid w:val="0018486E"/>
    <w:rsid w:val="00184A14"/>
    <w:rsid w:val="0018674B"/>
    <w:rsid w:val="00186984"/>
    <w:rsid w:val="00187812"/>
    <w:rsid w:val="00187D1F"/>
    <w:rsid w:val="001902A8"/>
    <w:rsid w:val="001906D6"/>
    <w:rsid w:val="001907DD"/>
    <w:rsid w:val="001913EB"/>
    <w:rsid w:val="001916E2"/>
    <w:rsid w:val="00192626"/>
    <w:rsid w:val="001928F9"/>
    <w:rsid w:val="00193458"/>
    <w:rsid w:val="00193C9B"/>
    <w:rsid w:val="001942A9"/>
    <w:rsid w:val="00194813"/>
    <w:rsid w:val="00195330"/>
    <w:rsid w:val="001954C3"/>
    <w:rsid w:val="001957DF"/>
    <w:rsid w:val="00195C51"/>
    <w:rsid w:val="00195C9F"/>
    <w:rsid w:val="00197472"/>
    <w:rsid w:val="001A0312"/>
    <w:rsid w:val="001A041E"/>
    <w:rsid w:val="001A0863"/>
    <w:rsid w:val="001A1818"/>
    <w:rsid w:val="001A189D"/>
    <w:rsid w:val="001A1A89"/>
    <w:rsid w:val="001A1E01"/>
    <w:rsid w:val="001A233C"/>
    <w:rsid w:val="001A32D5"/>
    <w:rsid w:val="001A3E07"/>
    <w:rsid w:val="001A5428"/>
    <w:rsid w:val="001A72DC"/>
    <w:rsid w:val="001B0C1E"/>
    <w:rsid w:val="001B0CC4"/>
    <w:rsid w:val="001B138E"/>
    <w:rsid w:val="001B1E2C"/>
    <w:rsid w:val="001B2C31"/>
    <w:rsid w:val="001B2DD9"/>
    <w:rsid w:val="001B3619"/>
    <w:rsid w:val="001B36A7"/>
    <w:rsid w:val="001B4E84"/>
    <w:rsid w:val="001B51CA"/>
    <w:rsid w:val="001B51E2"/>
    <w:rsid w:val="001B6023"/>
    <w:rsid w:val="001B6AF6"/>
    <w:rsid w:val="001B71C3"/>
    <w:rsid w:val="001B779B"/>
    <w:rsid w:val="001B7F35"/>
    <w:rsid w:val="001C1594"/>
    <w:rsid w:val="001C181D"/>
    <w:rsid w:val="001C2491"/>
    <w:rsid w:val="001C2740"/>
    <w:rsid w:val="001C2E40"/>
    <w:rsid w:val="001C32B2"/>
    <w:rsid w:val="001C3B8F"/>
    <w:rsid w:val="001C3C1A"/>
    <w:rsid w:val="001C3E00"/>
    <w:rsid w:val="001C4408"/>
    <w:rsid w:val="001C4EAE"/>
    <w:rsid w:val="001C515E"/>
    <w:rsid w:val="001C5A57"/>
    <w:rsid w:val="001C5AC0"/>
    <w:rsid w:val="001C6DFA"/>
    <w:rsid w:val="001C712E"/>
    <w:rsid w:val="001D08E2"/>
    <w:rsid w:val="001D0968"/>
    <w:rsid w:val="001D0DE7"/>
    <w:rsid w:val="001D0F55"/>
    <w:rsid w:val="001D1D90"/>
    <w:rsid w:val="001D2194"/>
    <w:rsid w:val="001D2713"/>
    <w:rsid w:val="001D280B"/>
    <w:rsid w:val="001D2BB0"/>
    <w:rsid w:val="001D30BD"/>
    <w:rsid w:val="001D31E0"/>
    <w:rsid w:val="001D3B7F"/>
    <w:rsid w:val="001D445A"/>
    <w:rsid w:val="001D505F"/>
    <w:rsid w:val="001D5DBB"/>
    <w:rsid w:val="001D6398"/>
    <w:rsid w:val="001D6760"/>
    <w:rsid w:val="001D6993"/>
    <w:rsid w:val="001D6A4A"/>
    <w:rsid w:val="001E05D0"/>
    <w:rsid w:val="001E100B"/>
    <w:rsid w:val="001E16B5"/>
    <w:rsid w:val="001E1B55"/>
    <w:rsid w:val="001E2217"/>
    <w:rsid w:val="001E26C6"/>
    <w:rsid w:val="001E27FF"/>
    <w:rsid w:val="001E3FA9"/>
    <w:rsid w:val="001E419E"/>
    <w:rsid w:val="001E49A2"/>
    <w:rsid w:val="001E4A5D"/>
    <w:rsid w:val="001E5EE6"/>
    <w:rsid w:val="001E6497"/>
    <w:rsid w:val="001E6A6B"/>
    <w:rsid w:val="001E6F47"/>
    <w:rsid w:val="001E72BE"/>
    <w:rsid w:val="001E76FA"/>
    <w:rsid w:val="001E7FC3"/>
    <w:rsid w:val="001F0689"/>
    <w:rsid w:val="001F0917"/>
    <w:rsid w:val="001F102F"/>
    <w:rsid w:val="001F3102"/>
    <w:rsid w:val="001F3CDF"/>
    <w:rsid w:val="001F3E9B"/>
    <w:rsid w:val="001F4CB4"/>
    <w:rsid w:val="001F5ADA"/>
    <w:rsid w:val="001F5C1B"/>
    <w:rsid w:val="001F67DC"/>
    <w:rsid w:val="001F73C2"/>
    <w:rsid w:val="001F74BE"/>
    <w:rsid w:val="001F7B3D"/>
    <w:rsid w:val="002000BC"/>
    <w:rsid w:val="0020055B"/>
    <w:rsid w:val="00200BC0"/>
    <w:rsid w:val="00200C4B"/>
    <w:rsid w:val="002014C7"/>
    <w:rsid w:val="00201652"/>
    <w:rsid w:val="00201BB6"/>
    <w:rsid w:val="00201D1A"/>
    <w:rsid w:val="00201E1B"/>
    <w:rsid w:val="00201E70"/>
    <w:rsid w:val="0020213E"/>
    <w:rsid w:val="002021F3"/>
    <w:rsid w:val="00202430"/>
    <w:rsid w:val="00202663"/>
    <w:rsid w:val="002026FF"/>
    <w:rsid w:val="00202717"/>
    <w:rsid w:val="00202C05"/>
    <w:rsid w:val="002036B9"/>
    <w:rsid w:val="002037CC"/>
    <w:rsid w:val="00203994"/>
    <w:rsid w:val="002043A6"/>
    <w:rsid w:val="002048E9"/>
    <w:rsid w:val="00204974"/>
    <w:rsid w:val="00204F21"/>
    <w:rsid w:val="00204F98"/>
    <w:rsid w:val="00205312"/>
    <w:rsid w:val="00205B2C"/>
    <w:rsid w:val="00206170"/>
    <w:rsid w:val="0020687B"/>
    <w:rsid w:val="00206BAF"/>
    <w:rsid w:val="00206CFB"/>
    <w:rsid w:val="00206D22"/>
    <w:rsid w:val="002075E5"/>
    <w:rsid w:val="00207DFC"/>
    <w:rsid w:val="0021066A"/>
    <w:rsid w:val="002109F2"/>
    <w:rsid w:val="00210E07"/>
    <w:rsid w:val="00212B9F"/>
    <w:rsid w:val="00213152"/>
    <w:rsid w:val="002131FB"/>
    <w:rsid w:val="002147B8"/>
    <w:rsid w:val="00214BFD"/>
    <w:rsid w:val="00214F17"/>
    <w:rsid w:val="00215471"/>
    <w:rsid w:val="00215BCD"/>
    <w:rsid w:val="00215D9E"/>
    <w:rsid w:val="002162A2"/>
    <w:rsid w:val="0021683E"/>
    <w:rsid w:val="00216B10"/>
    <w:rsid w:val="00216C9B"/>
    <w:rsid w:val="00216F1E"/>
    <w:rsid w:val="002170EF"/>
    <w:rsid w:val="00220043"/>
    <w:rsid w:val="002208A6"/>
    <w:rsid w:val="00220992"/>
    <w:rsid w:val="00220A86"/>
    <w:rsid w:val="00220FC7"/>
    <w:rsid w:val="00221FB4"/>
    <w:rsid w:val="00224D4D"/>
    <w:rsid w:val="00225C1A"/>
    <w:rsid w:val="00226FA4"/>
    <w:rsid w:val="00227FBB"/>
    <w:rsid w:val="002300E4"/>
    <w:rsid w:val="0023067C"/>
    <w:rsid w:val="00230771"/>
    <w:rsid w:val="0023113E"/>
    <w:rsid w:val="00231AA2"/>
    <w:rsid w:val="00232101"/>
    <w:rsid w:val="0023269E"/>
    <w:rsid w:val="0023290E"/>
    <w:rsid w:val="00233C51"/>
    <w:rsid w:val="002341D5"/>
    <w:rsid w:val="00235040"/>
    <w:rsid w:val="002351FE"/>
    <w:rsid w:val="0023540B"/>
    <w:rsid w:val="0023634E"/>
    <w:rsid w:val="0023694B"/>
    <w:rsid w:val="00237052"/>
    <w:rsid w:val="002370C3"/>
    <w:rsid w:val="00237403"/>
    <w:rsid w:val="002375CF"/>
    <w:rsid w:val="00237752"/>
    <w:rsid w:val="002379CC"/>
    <w:rsid w:val="00237BD9"/>
    <w:rsid w:val="00237C9E"/>
    <w:rsid w:val="00240A7E"/>
    <w:rsid w:val="00240D9F"/>
    <w:rsid w:val="0024174F"/>
    <w:rsid w:val="002429F5"/>
    <w:rsid w:val="00243620"/>
    <w:rsid w:val="00244571"/>
    <w:rsid w:val="00244C7C"/>
    <w:rsid w:val="00244E55"/>
    <w:rsid w:val="002457CB"/>
    <w:rsid w:val="00245F26"/>
    <w:rsid w:val="00247723"/>
    <w:rsid w:val="00250AFD"/>
    <w:rsid w:val="00251286"/>
    <w:rsid w:val="002517E9"/>
    <w:rsid w:val="00252162"/>
    <w:rsid w:val="002525A9"/>
    <w:rsid w:val="00252AD8"/>
    <w:rsid w:val="002537A4"/>
    <w:rsid w:val="00253DF4"/>
    <w:rsid w:val="00254397"/>
    <w:rsid w:val="0025556D"/>
    <w:rsid w:val="002565F0"/>
    <w:rsid w:val="002574A8"/>
    <w:rsid w:val="00260C0A"/>
    <w:rsid w:val="00261428"/>
    <w:rsid w:val="00261C20"/>
    <w:rsid w:val="0026344A"/>
    <w:rsid w:val="002637CC"/>
    <w:rsid w:val="00264656"/>
    <w:rsid w:val="00265899"/>
    <w:rsid w:val="00266AEE"/>
    <w:rsid w:val="00266F76"/>
    <w:rsid w:val="0026737C"/>
    <w:rsid w:val="00267ACD"/>
    <w:rsid w:val="00267F31"/>
    <w:rsid w:val="00270994"/>
    <w:rsid w:val="002710B4"/>
    <w:rsid w:val="00271647"/>
    <w:rsid w:val="00271CB6"/>
    <w:rsid w:val="00272270"/>
    <w:rsid w:val="00272912"/>
    <w:rsid w:val="002739BC"/>
    <w:rsid w:val="00273A3F"/>
    <w:rsid w:val="00274ABC"/>
    <w:rsid w:val="002752DB"/>
    <w:rsid w:val="002755B3"/>
    <w:rsid w:val="00275969"/>
    <w:rsid w:val="00275A5D"/>
    <w:rsid w:val="00275B40"/>
    <w:rsid w:val="00275D37"/>
    <w:rsid w:val="00276A01"/>
    <w:rsid w:val="00280324"/>
    <w:rsid w:val="0028115C"/>
    <w:rsid w:val="002812DB"/>
    <w:rsid w:val="00281468"/>
    <w:rsid w:val="00284574"/>
    <w:rsid w:val="00285CC0"/>
    <w:rsid w:val="00286012"/>
    <w:rsid w:val="0028706F"/>
    <w:rsid w:val="00287C35"/>
    <w:rsid w:val="002903DF"/>
    <w:rsid w:val="0029091F"/>
    <w:rsid w:val="00290970"/>
    <w:rsid w:val="00291064"/>
    <w:rsid w:val="002910F4"/>
    <w:rsid w:val="00292D34"/>
    <w:rsid w:val="00293EA7"/>
    <w:rsid w:val="0029437C"/>
    <w:rsid w:val="00294733"/>
    <w:rsid w:val="002947F7"/>
    <w:rsid w:val="00294879"/>
    <w:rsid w:val="00295121"/>
    <w:rsid w:val="00295D72"/>
    <w:rsid w:val="00296134"/>
    <w:rsid w:val="0029621A"/>
    <w:rsid w:val="0029628A"/>
    <w:rsid w:val="00296A17"/>
    <w:rsid w:val="00296CBD"/>
    <w:rsid w:val="002971FB"/>
    <w:rsid w:val="0029721C"/>
    <w:rsid w:val="00297361"/>
    <w:rsid w:val="00297540"/>
    <w:rsid w:val="00297AEF"/>
    <w:rsid w:val="002A03B4"/>
    <w:rsid w:val="002A0616"/>
    <w:rsid w:val="002A28B4"/>
    <w:rsid w:val="002A2B48"/>
    <w:rsid w:val="002A3532"/>
    <w:rsid w:val="002A3591"/>
    <w:rsid w:val="002A42BC"/>
    <w:rsid w:val="002A4802"/>
    <w:rsid w:val="002A49DE"/>
    <w:rsid w:val="002A588A"/>
    <w:rsid w:val="002A660D"/>
    <w:rsid w:val="002A766F"/>
    <w:rsid w:val="002A7A18"/>
    <w:rsid w:val="002A7AA0"/>
    <w:rsid w:val="002B1144"/>
    <w:rsid w:val="002B1732"/>
    <w:rsid w:val="002B1910"/>
    <w:rsid w:val="002B1D83"/>
    <w:rsid w:val="002B2193"/>
    <w:rsid w:val="002B314F"/>
    <w:rsid w:val="002B3325"/>
    <w:rsid w:val="002B3396"/>
    <w:rsid w:val="002B384B"/>
    <w:rsid w:val="002B3AA6"/>
    <w:rsid w:val="002B3EA5"/>
    <w:rsid w:val="002B3FA7"/>
    <w:rsid w:val="002B46AC"/>
    <w:rsid w:val="002B4B21"/>
    <w:rsid w:val="002B53DA"/>
    <w:rsid w:val="002B5800"/>
    <w:rsid w:val="002B5EE3"/>
    <w:rsid w:val="002B6142"/>
    <w:rsid w:val="002B6213"/>
    <w:rsid w:val="002B6E00"/>
    <w:rsid w:val="002B70F8"/>
    <w:rsid w:val="002B7691"/>
    <w:rsid w:val="002C1007"/>
    <w:rsid w:val="002C15FB"/>
    <w:rsid w:val="002C1E0C"/>
    <w:rsid w:val="002C2650"/>
    <w:rsid w:val="002C2B05"/>
    <w:rsid w:val="002C2B4B"/>
    <w:rsid w:val="002C2BD6"/>
    <w:rsid w:val="002C455B"/>
    <w:rsid w:val="002C51DB"/>
    <w:rsid w:val="002C57F3"/>
    <w:rsid w:val="002C58B0"/>
    <w:rsid w:val="002C5A8B"/>
    <w:rsid w:val="002C6991"/>
    <w:rsid w:val="002C6A27"/>
    <w:rsid w:val="002C76E4"/>
    <w:rsid w:val="002C7B63"/>
    <w:rsid w:val="002D0013"/>
    <w:rsid w:val="002D011B"/>
    <w:rsid w:val="002D0D08"/>
    <w:rsid w:val="002D0E93"/>
    <w:rsid w:val="002D1632"/>
    <w:rsid w:val="002D175B"/>
    <w:rsid w:val="002D1934"/>
    <w:rsid w:val="002D1B0B"/>
    <w:rsid w:val="002D21B7"/>
    <w:rsid w:val="002D3558"/>
    <w:rsid w:val="002D3F02"/>
    <w:rsid w:val="002D4E23"/>
    <w:rsid w:val="002D5004"/>
    <w:rsid w:val="002D529E"/>
    <w:rsid w:val="002D5458"/>
    <w:rsid w:val="002D5845"/>
    <w:rsid w:val="002D59E0"/>
    <w:rsid w:val="002D5BEE"/>
    <w:rsid w:val="002D6F3B"/>
    <w:rsid w:val="002D7B9C"/>
    <w:rsid w:val="002D7FB9"/>
    <w:rsid w:val="002E03EB"/>
    <w:rsid w:val="002E03FA"/>
    <w:rsid w:val="002E0CD2"/>
    <w:rsid w:val="002E0EC0"/>
    <w:rsid w:val="002E0EFF"/>
    <w:rsid w:val="002E1215"/>
    <w:rsid w:val="002E143F"/>
    <w:rsid w:val="002E145D"/>
    <w:rsid w:val="002E16F7"/>
    <w:rsid w:val="002E1DB2"/>
    <w:rsid w:val="002E1F21"/>
    <w:rsid w:val="002E525C"/>
    <w:rsid w:val="002E550F"/>
    <w:rsid w:val="002E55A0"/>
    <w:rsid w:val="002E5749"/>
    <w:rsid w:val="002E6225"/>
    <w:rsid w:val="002E6276"/>
    <w:rsid w:val="002E67D6"/>
    <w:rsid w:val="002E6819"/>
    <w:rsid w:val="002E6B99"/>
    <w:rsid w:val="002E6EBE"/>
    <w:rsid w:val="002E6F01"/>
    <w:rsid w:val="002E759E"/>
    <w:rsid w:val="002E7BFA"/>
    <w:rsid w:val="002F05E1"/>
    <w:rsid w:val="002F0E8B"/>
    <w:rsid w:val="002F220B"/>
    <w:rsid w:val="002F2327"/>
    <w:rsid w:val="002F2CEA"/>
    <w:rsid w:val="002F34D8"/>
    <w:rsid w:val="002F3C9B"/>
    <w:rsid w:val="002F420C"/>
    <w:rsid w:val="002F4E6A"/>
    <w:rsid w:val="002F5B26"/>
    <w:rsid w:val="002F5B2B"/>
    <w:rsid w:val="002F5C2F"/>
    <w:rsid w:val="002F5C69"/>
    <w:rsid w:val="002F5E8C"/>
    <w:rsid w:val="002F6B94"/>
    <w:rsid w:val="002F7370"/>
    <w:rsid w:val="002F79A6"/>
    <w:rsid w:val="003007EC"/>
    <w:rsid w:val="00300BC9"/>
    <w:rsid w:val="00300C66"/>
    <w:rsid w:val="003027A3"/>
    <w:rsid w:val="00302A44"/>
    <w:rsid w:val="00303D86"/>
    <w:rsid w:val="003041BF"/>
    <w:rsid w:val="0030468B"/>
    <w:rsid w:val="0030530A"/>
    <w:rsid w:val="003057F6"/>
    <w:rsid w:val="0030588B"/>
    <w:rsid w:val="00305DDE"/>
    <w:rsid w:val="00306287"/>
    <w:rsid w:val="00306ED9"/>
    <w:rsid w:val="00307864"/>
    <w:rsid w:val="00310D9D"/>
    <w:rsid w:val="00312CBE"/>
    <w:rsid w:val="00313315"/>
    <w:rsid w:val="003137F6"/>
    <w:rsid w:val="00313CF7"/>
    <w:rsid w:val="00313E77"/>
    <w:rsid w:val="00315503"/>
    <w:rsid w:val="00315A90"/>
    <w:rsid w:val="00315B1D"/>
    <w:rsid w:val="00315E9D"/>
    <w:rsid w:val="00316749"/>
    <w:rsid w:val="003205F6"/>
    <w:rsid w:val="0032130F"/>
    <w:rsid w:val="00321777"/>
    <w:rsid w:val="00321CE8"/>
    <w:rsid w:val="00321DD4"/>
    <w:rsid w:val="0032255C"/>
    <w:rsid w:val="003225AD"/>
    <w:rsid w:val="00322C0A"/>
    <w:rsid w:val="00323C48"/>
    <w:rsid w:val="00323DC0"/>
    <w:rsid w:val="003241A6"/>
    <w:rsid w:val="00324387"/>
    <w:rsid w:val="0032462C"/>
    <w:rsid w:val="00324B2A"/>
    <w:rsid w:val="00325296"/>
    <w:rsid w:val="003271D4"/>
    <w:rsid w:val="00327361"/>
    <w:rsid w:val="00330A57"/>
    <w:rsid w:val="00331829"/>
    <w:rsid w:val="00331D6B"/>
    <w:rsid w:val="003322E0"/>
    <w:rsid w:val="003328DB"/>
    <w:rsid w:val="00332C9A"/>
    <w:rsid w:val="00334BC1"/>
    <w:rsid w:val="00334E2C"/>
    <w:rsid w:val="0033522C"/>
    <w:rsid w:val="00336861"/>
    <w:rsid w:val="003368C9"/>
    <w:rsid w:val="003368CC"/>
    <w:rsid w:val="00336931"/>
    <w:rsid w:val="00336F2E"/>
    <w:rsid w:val="00337326"/>
    <w:rsid w:val="00337BD9"/>
    <w:rsid w:val="00340357"/>
    <w:rsid w:val="00340D5B"/>
    <w:rsid w:val="00341C41"/>
    <w:rsid w:val="003423BF"/>
    <w:rsid w:val="00342D4D"/>
    <w:rsid w:val="00342EB4"/>
    <w:rsid w:val="003431E7"/>
    <w:rsid w:val="00343213"/>
    <w:rsid w:val="00343758"/>
    <w:rsid w:val="00343B99"/>
    <w:rsid w:val="00343E11"/>
    <w:rsid w:val="00344E7C"/>
    <w:rsid w:val="0034579C"/>
    <w:rsid w:val="00345872"/>
    <w:rsid w:val="00346081"/>
    <w:rsid w:val="003466B3"/>
    <w:rsid w:val="003479CA"/>
    <w:rsid w:val="00350413"/>
    <w:rsid w:val="00350649"/>
    <w:rsid w:val="00350F85"/>
    <w:rsid w:val="00351002"/>
    <w:rsid w:val="0035174A"/>
    <w:rsid w:val="003520D1"/>
    <w:rsid w:val="00352468"/>
    <w:rsid w:val="0035253F"/>
    <w:rsid w:val="00352AD5"/>
    <w:rsid w:val="00353C3A"/>
    <w:rsid w:val="00353C9B"/>
    <w:rsid w:val="00354650"/>
    <w:rsid w:val="00354676"/>
    <w:rsid w:val="003567DE"/>
    <w:rsid w:val="003568CF"/>
    <w:rsid w:val="0035770B"/>
    <w:rsid w:val="00357CD4"/>
    <w:rsid w:val="00360E95"/>
    <w:rsid w:val="0036254B"/>
    <w:rsid w:val="003625F5"/>
    <w:rsid w:val="003626B2"/>
    <w:rsid w:val="00362E46"/>
    <w:rsid w:val="00363DC4"/>
    <w:rsid w:val="00364685"/>
    <w:rsid w:val="003646E0"/>
    <w:rsid w:val="003646F3"/>
    <w:rsid w:val="00364F47"/>
    <w:rsid w:val="0036528F"/>
    <w:rsid w:val="00366396"/>
    <w:rsid w:val="00366397"/>
    <w:rsid w:val="00366D52"/>
    <w:rsid w:val="00367B83"/>
    <w:rsid w:val="00370705"/>
    <w:rsid w:val="0037073E"/>
    <w:rsid w:val="00370811"/>
    <w:rsid w:val="00370817"/>
    <w:rsid w:val="00370B90"/>
    <w:rsid w:val="00371F82"/>
    <w:rsid w:val="00373A3B"/>
    <w:rsid w:val="00373B3F"/>
    <w:rsid w:val="0037539A"/>
    <w:rsid w:val="0037601A"/>
    <w:rsid w:val="00377E14"/>
    <w:rsid w:val="003809E6"/>
    <w:rsid w:val="00380F97"/>
    <w:rsid w:val="00381313"/>
    <w:rsid w:val="00381661"/>
    <w:rsid w:val="00381AC1"/>
    <w:rsid w:val="00383DED"/>
    <w:rsid w:val="00384927"/>
    <w:rsid w:val="00385518"/>
    <w:rsid w:val="00385F22"/>
    <w:rsid w:val="00386279"/>
    <w:rsid w:val="00386D57"/>
    <w:rsid w:val="0038700F"/>
    <w:rsid w:val="00387172"/>
    <w:rsid w:val="003873A7"/>
    <w:rsid w:val="0039038E"/>
    <w:rsid w:val="00391C26"/>
    <w:rsid w:val="00392685"/>
    <w:rsid w:val="00392706"/>
    <w:rsid w:val="00392ED2"/>
    <w:rsid w:val="0039332E"/>
    <w:rsid w:val="00395745"/>
    <w:rsid w:val="0039662F"/>
    <w:rsid w:val="003A0473"/>
    <w:rsid w:val="003A0FC0"/>
    <w:rsid w:val="003A145E"/>
    <w:rsid w:val="003A1F23"/>
    <w:rsid w:val="003A2B31"/>
    <w:rsid w:val="003A34DE"/>
    <w:rsid w:val="003A3808"/>
    <w:rsid w:val="003A3F3B"/>
    <w:rsid w:val="003A4A56"/>
    <w:rsid w:val="003A614C"/>
    <w:rsid w:val="003A6197"/>
    <w:rsid w:val="003B0099"/>
    <w:rsid w:val="003B0220"/>
    <w:rsid w:val="003B0E54"/>
    <w:rsid w:val="003B1144"/>
    <w:rsid w:val="003B14A7"/>
    <w:rsid w:val="003B1C00"/>
    <w:rsid w:val="003B25D1"/>
    <w:rsid w:val="003B2D1B"/>
    <w:rsid w:val="003B3201"/>
    <w:rsid w:val="003B4EA4"/>
    <w:rsid w:val="003B4FAE"/>
    <w:rsid w:val="003B593B"/>
    <w:rsid w:val="003B5996"/>
    <w:rsid w:val="003B607E"/>
    <w:rsid w:val="003B65BF"/>
    <w:rsid w:val="003B66FA"/>
    <w:rsid w:val="003B69A2"/>
    <w:rsid w:val="003C0974"/>
    <w:rsid w:val="003C0F68"/>
    <w:rsid w:val="003C11B0"/>
    <w:rsid w:val="003C164C"/>
    <w:rsid w:val="003C25DD"/>
    <w:rsid w:val="003C4301"/>
    <w:rsid w:val="003C4EB6"/>
    <w:rsid w:val="003C5D1C"/>
    <w:rsid w:val="003C680B"/>
    <w:rsid w:val="003C6DDD"/>
    <w:rsid w:val="003C762A"/>
    <w:rsid w:val="003C7D31"/>
    <w:rsid w:val="003D01DB"/>
    <w:rsid w:val="003D03DD"/>
    <w:rsid w:val="003D0CC0"/>
    <w:rsid w:val="003D0F62"/>
    <w:rsid w:val="003D1149"/>
    <w:rsid w:val="003D1921"/>
    <w:rsid w:val="003D1A11"/>
    <w:rsid w:val="003D1B29"/>
    <w:rsid w:val="003D20BA"/>
    <w:rsid w:val="003D217D"/>
    <w:rsid w:val="003D32A7"/>
    <w:rsid w:val="003D4261"/>
    <w:rsid w:val="003D4528"/>
    <w:rsid w:val="003D4E32"/>
    <w:rsid w:val="003D5D84"/>
    <w:rsid w:val="003D6387"/>
    <w:rsid w:val="003D69BE"/>
    <w:rsid w:val="003D6F0F"/>
    <w:rsid w:val="003D737D"/>
    <w:rsid w:val="003D7715"/>
    <w:rsid w:val="003D776E"/>
    <w:rsid w:val="003D7A58"/>
    <w:rsid w:val="003E039D"/>
    <w:rsid w:val="003E0A3C"/>
    <w:rsid w:val="003E0F84"/>
    <w:rsid w:val="003E12E4"/>
    <w:rsid w:val="003E1F1B"/>
    <w:rsid w:val="003E1F97"/>
    <w:rsid w:val="003E2DE9"/>
    <w:rsid w:val="003E3263"/>
    <w:rsid w:val="003E37DC"/>
    <w:rsid w:val="003E382C"/>
    <w:rsid w:val="003E3C07"/>
    <w:rsid w:val="003E41BA"/>
    <w:rsid w:val="003E432B"/>
    <w:rsid w:val="003E475E"/>
    <w:rsid w:val="003E516D"/>
    <w:rsid w:val="003E57AA"/>
    <w:rsid w:val="003E57CC"/>
    <w:rsid w:val="003E59B0"/>
    <w:rsid w:val="003E7C60"/>
    <w:rsid w:val="003F054D"/>
    <w:rsid w:val="003F0652"/>
    <w:rsid w:val="003F07F1"/>
    <w:rsid w:val="003F1884"/>
    <w:rsid w:val="003F1A05"/>
    <w:rsid w:val="003F1C97"/>
    <w:rsid w:val="003F224E"/>
    <w:rsid w:val="003F26BE"/>
    <w:rsid w:val="003F3B6B"/>
    <w:rsid w:val="003F3CF0"/>
    <w:rsid w:val="003F3D1D"/>
    <w:rsid w:val="003F4311"/>
    <w:rsid w:val="003F43C5"/>
    <w:rsid w:val="003F443B"/>
    <w:rsid w:val="003F4CE1"/>
    <w:rsid w:val="003F51FE"/>
    <w:rsid w:val="003F5B2D"/>
    <w:rsid w:val="003F6204"/>
    <w:rsid w:val="003F6271"/>
    <w:rsid w:val="003F6BC8"/>
    <w:rsid w:val="003F7F0C"/>
    <w:rsid w:val="00400B25"/>
    <w:rsid w:val="0040145F"/>
    <w:rsid w:val="00402246"/>
    <w:rsid w:val="0040235A"/>
    <w:rsid w:val="00402478"/>
    <w:rsid w:val="00402867"/>
    <w:rsid w:val="00402C9F"/>
    <w:rsid w:val="00403B46"/>
    <w:rsid w:val="00403BD1"/>
    <w:rsid w:val="00403FD6"/>
    <w:rsid w:val="00404467"/>
    <w:rsid w:val="00404AE1"/>
    <w:rsid w:val="004050D7"/>
    <w:rsid w:val="004055C7"/>
    <w:rsid w:val="004056BB"/>
    <w:rsid w:val="00405A20"/>
    <w:rsid w:val="00405B35"/>
    <w:rsid w:val="00405E68"/>
    <w:rsid w:val="004064A9"/>
    <w:rsid w:val="00406953"/>
    <w:rsid w:val="00407457"/>
    <w:rsid w:val="004115BD"/>
    <w:rsid w:val="00413124"/>
    <w:rsid w:val="00413A95"/>
    <w:rsid w:val="00413CDB"/>
    <w:rsid w:val="00414552"/>
    <w:rsid w:val="0041464E"/>
    <w:rsid w:val="00414E68"/>
    <w:rsid w:val="0041521B"/>
    <w:rsid w:val="00415877"/>
    <w:rsid w:val="00415A02"/>
    <w:rsid w:val="00415FB5"/>
    <w:rsid w:val="004163CA"/>
    <w:rsid w:val="00416F6B"/>
    <w:rsid w:val="004201E2"/>
    <w:rsid w:val="004211E2"/>
    <w:rsid w:val="0042217B"/>
    <w:rsid w:val="00423602"/>
    <w:rsid w:val="00423640"/>
    <w:rsid w:val="00423C5C"/>
    <w:rsid w:val="004249D4"/>
    <w:rsid w:val="00425A47"/>
    <w:rsid w:val="00426072"/>
    <w:rsid w:val="00426F92"/>
    <w:rsid w:val="00427301"/>
    <w:rsid w:val="004273E3"/>
    <w:rsid w:val="004273F9"/>
    <w:rsid w:val="00427430"/>
    <w:rsid w:val="00427B8E"/>
    <w:rsid w:val="00427EF2"/>
    <w:rsid w:val="00430086"/>
    <w:rsid w:val="004303A5"/>
    <w:rsid w:val="00430A7D"/>
    <w:rsid w:val="00431203"/>
    <w:rsid w:val="00431884"/>
    <w:rsid w:val="00431915"/>
    <w:rsid w:val="00432120"/>
    <w:rsid w:val="004322C8"/>
    <w:rsid w:val="004324B1"/>
    <w:rsid w:val="00432FD9"/>
    <w:rsid w:val="0043322D"/>
    <w:rsid w:val="00433538"/>
    <w:rsid w:val="004340E0"/>
    <w:rsid w:val="004355DA"/>
    <w:rsid w:val="004369C8"/>
    <w:rsid w:val="0043726F"/>
    <w:rsid w:val="00437A52"/>
    <w:rsid w:val="0044038A"/>
    <w:rsid w:val="0044066F"/>
    <w:rsid w:val="00440D8E"/>
    <w:rsid w:val="00440DDE"/>
    <w:rsid w:val="00440E4D"/>
    <w:rsid w:val="00441251"/>
    <w:rsid w:val="004412DD"/>
    <w:rsid w:val="00441E2E"/>
    <w:rsid w:val="00441EBE"/>
    <w:rsid w:val="004423E9"/>
    <w:rsid w:val="004429E1"/>
    <w:rsid w:val="0044502C"/>
    <w:rsid w:val="0044594D"/>
    <w:rsid w:val="004464D3"/>
    <w:rsid w:val="0044666C"/>
    <w:rsid w:val="00446D14"/>
    <w:rsid w:val="004471E9"/>
    <w:rsid w:val="00447453"/>
    <w:rsid w:val="00447CED"/>
    <w:rsid w:val="00447D4E"/>
    <w:rsid w:val="00450C03"/>
    <w:rsid w:val="00451A59"/>
    <w:rsid w:val="0045213D"/>
    <w:rsid w:val="0045262C"/>
    <w:rsid w:val="00452EF5"/>
    <w:rsid w:val="00454233"/>
    <w:rsid w:val="004547E4"/>
    <w:rsid w:val="00455E30"/>
    <w:rsid w:val="00456D93"/>
    <w:rsid w:val="0045724E"/>
    <w:rsid w:val="00457266"/>
    <w:rsid w:val="00457720"/>
    <w:rsid w:val="00457924"/>
    <w:rsid w:val="00457D6A"/>
    <w:rsid w:val="00460035"/>
    <w:rsid w:val="004600D2"/>
    <w:rsid w:val="004602C9"/>
    <w:rsid w:val="00460ACE"/>
    <w:rsid w:val="00460C89"/>
    <w:rsid w:val="00460E59"/>
    <w:rsid w:val="00460EBA"/>
    <w:rsid w:val="00460F9F"/>
    <w:rsid w:val="004612F3"/>
    <w:rsid w:val="0046212A"/>
    <w:rsid w:val="00462249"/>
    <w:rsid w:val="0046244C"/>
    <w:rsid w:val="0046323C"/>
    <w:rsid w:val="0046359F"/>
    <w:rsid w:val="004638AA"/>
    <w:rsid w:val="00463AE4"/>
    <w:rsid w:val="00463EB3"/>
    <w:rsid w:val="00464064"/>
    <w:rsid w:val="00464AD8"/>
    <w:rsid w:val="004656CB"/>
    <w:rsid w:val="00465B40"/>
    <w:rsid w:val="0046639A"/>
    <w:rsid w:val="00466BCA"/>
    <w:rsid w:val="00467125"/>
    <w:rsid w:val="004672CB"/>
    <w:rsid w:val="004679FE"/>
    <w:rsid w:val="00467C85"/>
    <w:rsid w:val="00467E13"/>
    <w:rsid w:val="00467EB8"/>
    <w:rsid w:val="00467ED1"/>
    <w:rsid w:val="0047065F"/>
    <w:rsid w:val="00470875"/>
    <w:rsid w:val="004711AF"/>
    <w:rsid w:val="004717A7"/>
    <w:rsid w:val="00471DE3"/>
    <w:rsid w:val="004720E1"/>
    <w:rsid w:val="004721E0"/>
    <w:rsid w:val="00473094"/>
    <w:rsid w:val="00473B14"/>
    <w:rsid w:val="00474107"/>
    <w:rsid w:val="0047415F"/>
    <w:rsid w:val="00474C35"/>
    <w:rsid w:val="00474FDA"/>
    <w:rsid w:val="00475BDA"/>
    <w:rsid w:val="00475DBD"/>
    <w:rsid w:val="00476465"/>
    <w:rsid w:val="00477E83"/>
    <w:rsid w:val="00482370"/>
    <w:rsid w:val="00482DF8"/>
    <w:rsid w:val="00482E89"/>
    <w:rsid w:val="0048333D"/>
    <w:rsid w:val="0048347B"/>
    <w:rsid w:val="004842EE"/>
    <w:rsid w:val="00484575"/>
    <w:rsid w:val="0048569D"/>
    <w:rsid w:val="00485890"/>
    <w:rsid w:val="00485F6C"/>
    <w:rsid w:val="00486617"/>
    <w:rsid w:val="004867D2"/>
    <w:rsid w:val="004874D2"/>
    <w:rsid w:val="00487C7A"/>
    <w:rsid w:val="00490D84"/>
    <w:rsid w:val="004916DA"/>
    <w:rsid w:val="00492761"/>
    <w:rsid w:val="00494285"/>
    <w:rsid w:val="0049441A"/>
    <w:rsid w:val="0049544B"/>
    <w:rsid w:val="00496148"/>
    <w:rsid w:val="004968D0"/>
    <w:rsid w:val="00496BCD"/>
    <w:rsid w:val="004970E2"/>
    <w:rsid w:val="004A139F"/>
    <w:rsid w:val="004A13A0"/>
    <w:rsid w:val="004A1B25"/>
    <w:rsid w:val="004A1DCC"/>
    <w:rsid w:val="004A1EB7"/>
    <w:rsid w:val="004A2EB8"/>
    <w:rsid w:val="004A2EEE"/>
    <w:rsid w:val="004A348F"/>
    <w:rsid w:val="004A40B5"/>
    <w:rsid w:val="004A4270"/>
    <w:rsid w:val="004A4A34"/>
    <w:rsid w:val="004A4DA5"/>
    <w:rsid w:val="004A4DFB"/>
    <w:rsid w:val="004A6EFA"/>
    <w:rsid w:val="004B0390"/>
    <w:rsid w:val="004B058E"/>
    <w:rsid w:val="004B0A19"/>
    <w:rsid w:val="004B0A74"/>
    <w:rsid w:val="004B0CFB"/>
    <w:rsid w:val="004B11A3"/>
    <w:rsid w:val="004B2141"/>
    <w:rsid w:val="004B2617"/>
    <w:rsid w:val="004B2660"/>
    <w:rsid w:val="004B4417"/>
    <w:rsid w:val="004B46A9"/>
    <w:rsid w:val="004B4898"/>
    <w:rsid w:val="004B4977"/>
    <w:rsid w:val="004B53D0"/>
    <w:rsid w:val="004B61B3"/>
    <w:rsid w:val="004B66A0"/>
    <w:rsid w:val="004B7185"/>
    <w:rsid w:val="004B769B"/>
    <w:rsid w:val="004B7702"/>
    <w:rsid w:val="004B7F0F"/>
    <w:rsid w:val="004C0C8F"/>
    <w:rsid w:val="004C134E"/>
    <w:rsid w:val="004C2C18"/>
    <w:rsid w:val="004C365E"/>
    <w:rsid w:val="004C375F"/>
    <w:rsid w:val="004C3E5A"/>
    <w:rsid w:val="004C4123"/>
    <w:rsid w:val="004C422C"/>
    <w:rsid w:val="004C4811"/>
    <w:rsid w:val="004C5269"/>
    <w:rsid w:val="004C52E6"/>
    <w:rsid w:val="004C6AC2"/>
    <w:rsid w:val="004C6B76"/>
    <w:rsid w:val="004D023D"/>
    <w:rsid w:val="004D0B11"/>
    <w:rsid w:val="004D0C66"/>
    <w:rsid w:val="004D1649"/>
    <w:rsid w:val="004D16FF"/>
    <w:rsid w:val="004D176E"/>
    <w:rsid w:val="004D2061"/>
    <w:rsid w:val="004D21AA"/>
    <w:rsid w:val="004D260E"/>
    <w:rsid w:val="004D269B"/>
    <w:rsid w:val="004D2F4B"/>
    <w:rsid w:val="004D326C"/>
    <w:rsid w:val="004D3606"/>
    <w:rsid w:val="004D4597"/>
    <w:rsid w:val="004D56BA"/>
    <w:rsid w:val="004D5C0F"/>
    <w:rsid w:val="004D5F10"/>
    <w:rsid w:val="004D6684"/>
    <w:rsid w:val="004D6F8C"/>
    <w:rsid w:val="004D6FD9"/>
    <w:rsid w:val="004D703E"/>
    <w:rsid w:val="004D720C"/>
    <w:rsid w:val="004D788D"/>
    <w:rsid w:val="004D7896"/>
    <w:rsid w:val="004D7F90"/>
    <w:rsid w:val="004E0C82"/>
    <w:rsid w:val="004E0E47"/>
    <w:rsid w:val="004E1857"/>
    <w:rsid w:val="004E28F8"/>
    <w:rsid w:val="004E2947"/>
    <w:rsid w:val="004E35C7"/>
    <w:rsid w:val="004E39DA"/>
    <w:rsid w:val="004E44B5"/>
    <w:rsid w:val="004E48DE"/>
    <w:rsid w:val="004E5228"/>
    <w:rsid w:val="004E5CAC"/>
    <w:rsid w:val="004E602B"/>
    <w:rsid w:val="004E6297"/>
    <w:rsid w:val="004E6B66"/>
    <w:rsid w:val="004E6F99"/>
    <w:rsid w:val="004E7C7B"/>
    <w:rsid w:val="004E7C7C"/>
    <w:rsid w:val="004F006F"/>
    <w:rsid w:val="004F09C8"/>
    <w:rsid w:val="004F0D37"/>
    <w:rsid w:val="004F1BC4"/>
    <w:rsid w:val="004F240D"/>
    <w:rsid w:val="004F3A6E"/>
    <w:rsid w:val="004F3BE6"/>
    <w:rsid w:val="004F4131"/>
    <w:rsid w:val="004F444D"/>
    <w:rsid w:val="004F4A97"/>
    <w:rsid w:val="004F5321"/>
    <w:rsid w:val="004F541A"/>
    <w:rsid w:val="004F57E7"/>
    <w:rsid w:val="004F5D97"/>
    <w:rsid w:val="004F6C86"/>
    <w:rsid w:val="004F70B1"/>
    <w:rsid w:val="004F76F5"/>
    <w:rsid w:val="004F7ED1"/>
    <w:rsid w:val="005006E0"/>
    <w:rsid w:val="005010BB"/>
    <w:rsid w:val="0050133B"/>
    <w:rsid w:val="005014C3"/>
    <w:rsid w:val="0050205D"/>
    <w:rsid w:val="005023B0"/>
    <w:rsid w:val="005029A5"/>
    <w:rsid w:val="00502B62"/>
    <w:rsid w:val="00502BCA"/>
    <w:rsid w:val="0050311D"/>
    <w:rsid w:val="00503F8F"/>
    <w:rsid w:val="00504F07"/>
    <w:rsid w:val="00505792"/>
    <w:rsid w:val="00506415"/>
    <w:rsid w:val="0050699C"/>
    <w:rsid w:val="005069CD"/>
    <w:rsid w:val="00506C3C"/>
    <w:rsid w:val="00506F8B"/>
    <w:rsid w:val="00507C6A"/>
    <w:rsid w:val="0051176A"/>
    <w:rsid w:val="00512013"/>
    <w:rsid w:val="005122A7"/>
    <w:rsid w:val="00512527"/>
    <w:rsid w:val="0051266F"/>
    <w:rsid w:val="005129B8"/>
    <w:rsid w:val="00512E38"/>
    <w:rsid w:val="005134DF"/>
    <w:rsid w:val="0051359D"/>
    <w:rsid w:val="005140CD"/>
    <w:rsid w:val="0051457B"/>
    <w:rsid w:val="005149D7"/>
    <w:rsid w:val="0051583E"/>
    <w:rsid w:val="00516243"/>
    <w:rsid w:val="0051631E"/>
    <w:rsid w:val="00516B26"/>
    <w:rsid w:val="00516CA4"/>
    <w:rsid w:val="005171E8"/>
    <w:rsid w:val="005176F7"/>
    <w:rsid w:val="00520354"/>
    <w:rsid w:val="005206B8"/>
    <w:rsid w:val="00520DE8"/>
    <w:rsid w:val="005212AC"/>
    <w:rsid w:val="005222FE"/>
    <w:rsid w:val="005225F2"/>
    <w:rsid w:val="00522CAC"/>
    <w:rsid w:val="005240A3"/>
    <w:rsid w:val="00524C8E"/>
    <w:rsid w:val="00524C9F"/>
    <w:rsid w:val="00525444"/>
    <w:rsid w:val="0052553A"/>
    <w:rsid w:val="00525F78"/>
    <w:rsid w:val="00526A75"/>
    <w:rsid w:val="00526B47"/>
    <w:rsid w:val="00526CB6"/>
    <w:rsid w:val="00526E97"/>
    <w:rsid w:val="00527288"/>
    <w:rsid w:val="005278D4"/>
    <w:rsid w:val="00527B62"/>
    <w:rsid w:val="00527D28"/>
    <w:rsid w:val="0053028A"/>
    <w:rsid w:val="00530C2C"/>
    <w:rsid w:val="00531C56"/>
    <w:rsid w:val="00532360"/>
    <w:rsid w:val="0053285A"/>
    <w:rsid w:val="00534072"/>
    <w:rsid w:val="0053470E"/>
    <w:rsid w:val="005353F3"/>
    <w:rsid w:val="005363C4"/>
    <w:rsid w:val="00536A19"/>
    <w:rsid w:val="00536B8C"/>
    <w:rsid w:val="00537051"/>
    <w:rsid w:val="00537482"/>
    <w:rsid w:val="005379E4"/>
    <w:rsid w:val="00537BFF"/>
    <w:rsid w:val="00537D80"/>
    <w:rsid w:val="005401E2"/>
    <w:rsid w:val="00540D6C"/>
    <w:rsid w:val="00541996"/>
    <w:rsid w:val="00542B9B"/>
    <w:rsid w:val="00542D85"/>
    <w:rsid w:val="005442AD"/>
    <w:rsid w:val="00544EE0"/>
    <w:rsid w:val="005464EE"/>
    <w:rsid w:val="005469B5"/>
    <w:rsid w:val="005472AE"/>
    <w:rsid w:val="00550038"/>
    <w:rsid w:val="00550763"/>
    <w:rsid w:val="0055104A"/>
    <w:rsid w:val="0055152F"/>
    <w:rsid w:val="0055213A"/>
    <w:rsid w:val="005522B4"/>
    <w:rsid w:val="00553393"/>
    <w:rsid w:val="005536E2"/>
    <w:rsid w:val="00553ED3"/>
    <w:rsid w:val="0055477A"/>
    <w:rsid w:val="005555F5"/>
    <w:rsid w:val="00555ACB"/>
    <w:rsid w:val="00555B4A"/>
    <w:rsid w:val="00555DB2"/>
    <w:rsid w:val="005566A5"/>
    <w:rsid w:val="0056046B"/>
    <w:rsid w:val="005606C7"/>
    <w:rsid w:val="00560B59"/>
    <w:rsid w:val="00561C5C"/>
    <w:rsid w:val="005620A4"/>
    <w:rsid w:val="00563058"/>
    <w:rsid w:val="00563B7E"/>
    <w:rsid w:val="00564D6F"/>
    <w:rsid w:val="00564E02"/>
    <w:rsid w:val="005656C4"/>
    <w:rsid w:val="005658D7"/>
    <w:rsid w:val="0056660F"/>
    <w:rsid w:val="00566680"/>
    <w:rsid w:val="00567842"/>
    <w:rsid w:val="005678E0"/>
    <w:rsid w:val="00570426"/>
    <w:rsid w:val="00570487"/>
    <w:rsid w:val="00570D8B"/>
    <w:rsid w:val="00570EEA"/>
    <w:rsid w:val="00571113"/>
    <w:rsid w:val="00571775"/>
    <w:rsid w:val="00572E76"/>
    <w:rsid w:val="00574220"/>
    <w:rsid w:val="00574FE5"/>
    <w:rsid w:val="005754AD"/>
    <w:rsid w:val="00575675"/>
    <w:rsid w:val="005759E1"/>
    <w:rsid w:val="00575D1A"/>
    <w:rsid w:val="00576290"/>
    <w:rsid w:val="0057746A"/>
    <w:rsid w:val="005801B5"/>
    <w:rsid w:val="00581463"/>
    <w:rsid w:val="0058178F"/>
    <w:rsid w:val="00581963"/>
    <w:rsid w:val="00581FA4"/>
    <w:rsid w:val="00582A40"/>
    <w:rsid w:val="00582E06"/>
    <w:rsid w:val="005832B8"/>
    <w:rsid w:val="00583453"/>
    <w:rsid w:val="00584062"/>
    <w:rsid w:val="005840EE"/>
    <w:rsid w:val="0058441C"/>
    <w:rsid w:val="0058467F"/>
    <w:rsid w:val="00584695"/>
    <w:rsid w:val="005847BC"/>
    <w:rsid w:val="0058501F"/>
    <w:rsid w:val="00585B3F"/>
    <w:rsid w:val="00585BBF"/>
    <w:rsid w:val="00585CC3"/>
    <w:rsid w:val="0058652C"/>
    <w:rsid w:val="005876A5"/>
    <w:rsid w:val="00587FE3"/>
    <w:rsid w:val="005903E4"/>
    <w:rsid w:val="005913A5"/>
    <w:rsid w:val="005916B7"/>
    <w:rsid w:val="00591C5E"/>
    <w:rsid w:val="00591CBE"/>
    <w:rsid w:val="00592634"/>
    <w:rsid w:val="0059263A"/>
    <w:rsid w:val="00592DEA"/>
    <w:rsid w:val="00593566"/>
    <w:rsid w:val="00593A1F"/>
    <w:rsid w:val="00593A64"/>
    <w:rsid w:val="0059429D"/>
    <w:rsid w:val="005946AE"/>
    <w:rsid w:val="00595185"/>
    <w:rsid w:val="0059552A"/>
    <w:rsid w:val="00595E72"/>
    <w:rsid w:val="00595FB5"/>
    <w:rsid w:val="00597D84"/>
    <w:rsid w:val="005A044A"/>
    <w:rsid w:val="005A1C2E"/>
    <w:rsid w:val="005A2C89"/>
    <w:rsid w:val="005A2EAB"/>
    <w:rsid w:val="005A3033"/>
    <w:rsid w:val="005A3127"/>
    <w:rsid w:val="005A3161"/>
    <w:rsid w:val="005A3C37"/>
    <w:rsid w:val="005A4D2B"/>
    <w:rsid w:val="005A4E4B"/>
    <w:rsid w:val="005A4E69"/>
    <w:rsid w:val="005A66E9"/>
    <w:rsid w:val="005A6C36"/>
    <w:rsid w:val="005A769A"/>
    <w:rsid w:val="005A76A1"/>
    <w:rsid w:val="005A77DD"/>
    <w:rsid w:val="005A7C1A"/>
    <w:rsid w:val="005B042B"/>
    <w:rsid w:val="005B0A96"/>
    <w:rsid w:val="005B0F0D"/>
    <w:rsid w:val="005B2013"/>
    <w:rsid w:val="005B394E"/>
    <w:rsid w:val="005B3D74"/>
    <w:rsid w:val="005B3DF3"/>
    <w:rsid w:val="005B5108"/>
    <w:rsid w:val="005B579C"/>
    <w:rsid w:val="005B6450"/>
    <w:rsid w:val="005B67D6"/>
    <w:rsid w:val="005B795F"/>
    <w:rsid w:val="005C1C68"/>
    <w:rsid w:val="005C22BD"/>
    <w:rsid w:val="005C2461"/>
    <w:rsid w:val="005C283C"/>
    <w:rsid w:val="005C308F"/>
    <w:rsid w:val="005C39BB"/>
    <w:rsid w:val="005C3E37"/>
    <w:rsid w:val="005C40CB"/>
    <w:rsid w:val="005C4529"/>
    <w:rsid w:val="005C4AF5"/>
    <w:rsid w:val="005C66B2"/>
    <w:rsid w:val="005C74F7"/>
    <w:rsid w:val="005D01B0"/>
    <w:rsid w:val="005D057A"/>
    <w:rsid w:val="005D079F"/>
    <w:rsid w:val="005D1813"/>
    <w:rsid w:val="005D27E2"/>
    <w:rsid w:val="005D2A58"/>
    <w:rsid w:val="005D2B9B"/>
    <w:rsid w:val="005D31A6"/>
    <w:rsid w:val="005D3CF0"/>
    <w:rsid w:val="005D424E"/>
    <w:rsid w:val="005D4484"/>
    <w:rsid w:val="005D57B0"/>
    <w:rsid w:val="005D725E"/>
    <w:rsid w:val="005D7552"/>
    <w:rsid w:val="005D770C"/>
    <w:rsid w:val="005D7972"/>
    <w:rsid w:val="005D7AB3"/>
    <w:rsid w:val="005D7E55"/>
    <w:rsid w:val="005E00FF"/>
    <w:rsid w:val="005E0B2B"/>
    <w:rsid w:val="005E0DD2"/>
    <w:rsid w:val="005E1208"/>
    <w:rsid w:val="005E15E8"/>
    <w:rsid w:val="005E2234"/>
    <w:rsid w:val="005E2B13"/>
    <w:rsid w:val="005E3316"/>
    <w:rsid w:val="005E3446"/>
    <w:rsid w:val="005E346A"/>
    <w:rsid w:val="005E37F2"/>
    <w:rsid w:val="005E40DA"/>
    <w:rsid w:val="005E410B"/>
    <w:rsid w:val="005E499A"/>
    <w:rsid w:val="005E54DC"/>
    <w:rsid w:val="005E58CB"/>
    <w:rsid w:val="005E5A34"/>
    <w:rsid w:val="005E5DA9"/>
    <w:rsid w:val="005E666D"/>
    <w:rsid w:val="005E66D5"/>
    <w:rsid w:val="005E7A59"/>
    <w:rsid w:val="005E7AFE"/>
    <w:rsid w:val="005F0671"/>
    <w:rsid w:val="005F0B51"/>
    <w:rsid w:val="005F0C85"/>
    <w:rsid w:val="005F19CC"/>
    <w:rsid w:val="005F3B08"/>
    <w:rsid w:val="005F3BD3"/>
    <w:rsid w:val="005F4A15"/>
    <w:rsid w:val="005F4F4C"/>
    <w:rsid w:val="005F54ED"/>
    <w:rsid w:val="005F584B"/>
    <w:rsid w:val="005F5D5F"/>
    <w:rsid w:val="005F60D7"/>
    <w:rsid w:val="005F6223"/>
    <w:rsid w:val="005F6854"/>
    <w:rsid w:val="005F7A00"/>
    <w:rsid w:val="005F7EAC"/>
    <w:rsid w:val="00600633"/>
    <w:rsid w:val="00600BE5"/>
    <w:rsid w:val="0060128B"/>
    <w:rsid w:val="006016E7"/>
    <w:rsid w:val="00602E9A"/>
    <w:rsid w:val="00602F84"/>
    <w:rsid w:val="00603C16"/>
    <w:rsid w:val="00603CA3"/>
    <w:rsid w:val="00603E16"/>
    <w:rsid w:val="00604E8C"/>
    <w:rsid w:val="006051F5"/>
    <w:rsid w:val="00605466"/>
    <w:rsid w:val="00607266"/>
    <w:rsid w:val="0060787E"/>
    <w:rsid w:val="0061045B"/>
    <w:rsid w:val="00610816"/>
    <w:rsid w:val="0061198B"/>
    <w:rsid w:val="006119C0"/>
    <w:rsid w:val="0061264A"/>
    <w:rsid w:val="00612AFE"/>
    <w:rsid w:val="00612C2C"/>
    <w:rsid w:val="0061329A"/>
    <w:rsid w:val="00614AB4"/>
    <w:rsid w:val="00615083"/>
    <w:rsid w:val="00615236"/>
    <w:rsid w:val="00616431"/>
    <w:rsid w:val="00616785"/>
    <w:rsid w:val="00616FBE"/>
    <w:rsid w:val="00617151"/>
    <w:rsid w:val="00617404"/>
    <w:rsid w:val="00617C77"/>
    <w:rsid w:val="00620003"/>
    <w:rsid w:val="0062122E"/>
    <w:rsid w:val="00622120"/>
    <w:rsid w:val="0062349B"/>
    <w:rsid w:val="00623E84"/>
    <w:rsid w:val="00624022"/>
    <w:rsid w:val="006243CE"/>
    <w:rsid w:val="0062443D"/>
    <w:rsid w:val="006247BE"/>
    <w:rsid w:val="00624890"/>
    <w:rsid w:val="00624A82"/>
    <w:rsid w:val="00624AE4"/>
    <w:rsid w:val="0062528D"/>
    <w:rsid w:val="00625417"/>
    <w:rsid w:val="00625E7E"/>
    <w:rsid w:val="00625FB5"/>
    <w:rsid w:val="0062629F"/>
    <w:rsid w:val="006262F5"/>
    <w:rsid w:val="00626780"/>
    <w:rsid w:val="00626DE5"/>
    <w:rsid w:val="00627084"/>
    <w:rsid w:val="00627D98"/>
    <w:rsid w:val="0063013F"/>
    <w:rsid w:val="00630725"/>
    <w:rsid w:val="00630B6A"/>
    <w:rsid w:val="006315AF"/>
    <w:rsid w:val="00632D61"/>
    <w:rsid w:val="006337EA"/>
    <w:rsid w:val="006342FA"/>
    <w:rsid w:val="006345BC"/>
    <w:rsid w:val="0063470E"/>
    <w:rsid w:val="00636957"/>
    <w:rsid w:val="00636969"/>
    <w:rsid w:val="00637F7C"/>
    <w:rsid w:val="00640000"/>
    <w:rsid w:val="006405AA"/>
    <w:rsid w:val="00640C82"/>
    <w:rsid w:val="0064105E"/>
    <w:rsid w:val="00641AD2"/>
    <w:rsid w:val="00641B0A"/>
    <w:rsid w:val="00641E1A"/>
    <w:rsid w:val="00642157"/>
    <w:rsid w:val="006421A4"/>
    <w:rsid w:val="0064305D"/>
    <w:rsid w:val="00643F20"/>
    <w:rsid w:val="00644825"/>
    <w:rsid w:val="00645DC3"/>
    <w:rsid w:val="00646131"/>
    <w:rsid w:val="006462B3"/>
    <w:rsid w:val="0064630E"/>
    <w:rsid w:val="006464DC"/>
    <w:rsid w:val="00647470"/>
    <w:rsid w:val="006479FB"/>
    <w:rsid w:val="006508ED"/>
    <w:rsid w:val="00651360"/>
    <w:rsid w:val="00651EA3"/>
    <w:rsid w:val="00652946"/>
    <w:rsid w:val="00652F58"/>
    <w:rsid w:val="006531E2"/>
    <w:rsid w:val="006532E5"/>
    <w:rsid w:val="0065396A"/>
    <w:rsid w:val="00654091"/>
    <w:rsid w:val="00654C44"/>
    <w:rsid w:val="00656845"/>
    <w:rsid w:val="00660309"/>
    <w:rsid w:val="00660D74"/>
    <w:rsid w:val="00662F66"/>
    <w:rsid w:val="00663357"/>
    <w:rsid w:val="006636A6"/>
    <w:rsid w:val="006637F7"/>
    <w:rsid w:val="00663E73"/>
    <w:rsid w:val="00663F22"/>
    <w:rsid w:val="00664055"/>
    <w:rsid w:val="00664270"/>
    <w:rsid w:val="006658D5"/>
    <w:rsid w:val="00665F18"/>
    <w:rsid w:val="00666204"/>
    <w:rsid w:val="006662CC"/>
    <w:rsid w:val="00666AC1"/>
    <w:rsid w:val="00666CD4"/>
    <w:rsid w:val="0066797F"/>
    <w:rsid w:val="00667E68"/>
    <w:rsid w:val="006707F1"/>
    <w:rsid w:val="00670913"/>
    <w:rsid w:val="006710CD"/>
    <w:rsid w:val="006715DC"/>
    <w:rsid w:val="00672CE8"/>
    <w:rsid w:val="00673FCE"/>
    <w:rsid w:val="00675263"/>
    <w:rsid w:val="00675932"/>
    <w:rsid w:val="006759B1"/>
    <w:rsid w:val="00676C2F"/>
    <w:rsid w:val="00677C6A"/>
    <w:rsid w:val="00677CE4"/>
    <w:rsid w:val="0068034D"/>
    <w:rsid w:val="00680693"/>
    <w:rsid w:val="006812D7"/>
    <w:rsid w:val="00681E39"/>
    <w:rsid w:val="00682200"/>
    <w:rsid w:val="0068278B"/>
    <w:rsid w:val="00682C49"/>
    <w:rsid w:val="00683326"/>
    <w:rsid w:val="0068466F"/>
    <w:rsid w:val="00685B6E"/>
    <w:rsid w:val="0068636F"/>
    <w:rsid w:val="00686795"/>
    <w:rsid w:val="00686860"/>
    <w:rsid w:val="006868EB"/>
    <w:rsid w:val="00686B60"/>
    <w:rsid w:val="00686CA8"/>
    <w:rsid w:val="00687742"/>
    <w:rsid w:val="006905BD"/>
    <w:rsid w:val="00690946"/>
    <w:rsid w:val="00691382"/>
    <w:rsid w:val="006915BB"/>
    <w:rsid w:val="006918A9"/>
    <w:rsid w:val="00691AE8"/>
    <w:rsid w:val="006923AD"/>
    <w:rsid w:val="006931CC"/>
    <w:rsid w:val="0069330F"/>
    <w:rsid w:val="006936AB"/>
    <w:rsid w:val="00693B5D"/>
    <w:rsid w:val="00693F94"/>
    <w:rsid w:val="006942C1"/>
    <w:rsid w:val="006944ED"/>
    <w:rsid w:val="00695536"/>
    <w:rsid w:val="00695A2D"/>
    <w:rsid w:val="006970E1"/>
    <w:rsid w:val="00697651"/>
    <w:rsid w:val="00697CAA"/>
    <w:rsid w:val="006A03E2"/>
    <w:rsid w:val="006A06BD"/>
    <w:rsid w:val="006A1988"/>
    <w:rsid w:val="006A1D9B"/>
    <w:rsid w:val="006A3078"/>
    <w:rsid w:val="006A41D0"/>
    <w:rsid w:val="006A4343"/>
    <w:rsid w:val="006A446A"/>
    <w:rsid w:val="006A5C09"/>
    <w:rsid w:val="006A5CB0"/>
    <w:rsid w:val="006A696F"/>
    <w:rsid w:val="006A7749"/>
    <w:rsid w:val="006A7FB4"/>
    <w:rsid w:val="006B052B"/>
    <w:rsid w:val="006B098E"/>
    <w:rsid w:val="006B1CEF"/>
    <w:rsid w:val="006B27CA"/>
    <w:rsid w:val="006B2FF7"/>
    <w:rsid w:val="006B3065"/>
    <w:rsid w:val="006B312B"/>
    <w:rsid w:val="006B39DF"/>
    <w:rsid w:val="006B42A5"/>
    <w:rsid w:val="006B5384"/>
    <w:rsid w:val="006B544C"/>
    <w:rsid w:val="006B5BB9"/>
    <w:rsid w:val="006B6242"/>
    <w:rsid w:val="006B62B3"/>
    <w:rsid w:val="006B65CD"/>
    <w:rsid w:val="006B6E88"/>
    <w:rsid w:val="006B6EBC"/>
    <w:rsid w:val="006B7A92"/>
    <w:rsid w:val="006C0DAD"/>
    <w:rsid w:val="006C1EC7"/>
    <w:rsid w:val="006C2D30"/>
    <w:rsid w:val="006C4674"/>
    <w:rsid w:val="006C4D8F"/>
    <w:rsid w:val="006C4FD9"/>
    <w:rsid w:val="006C543A"/>
    <w:rsid w:val="006C5E8A"/>
    <w:rsid w:val="006C7EA5"/>
    <w:rsid w:val="006D07FE"/>
    <w:rsid w:val="006D089B"/>
    <w:rsid w:val="006D0FB8"/>
    <w:rsid w:val="006D196F"/>
    <w:rsid w:val="006D23B3"/>
    <w:rsid w:val="006D29BA"/>
    <w:rsid w:val="006D36B9"/>
    <w:rsid w:val="006D3A1A"/>
    <w:rsid w:val="006D427B"/>
    <w:rsid w:val="006D5086"/>
    <w:rsid w:val="006D50AA"/>
    <w:rsid w:val="006D5F51"/>
    <w:rsid w:val="006D6412"/>
    <w:rsid w:val="006D77CA"/>
    <w:rsid w:val="006E006F"/>
    <w:rsid w:val="006E0B39"/>
    <w:rsid w:val="006E0E5F"/>
    <w:rsid w:val="006E1468"/>
    <w:rsid w:val="006E1A0D"/>
    <w:rsid w:val="006E1EE8"/>
    <w:rsid w:val="006E289F"/>
    <w:rsid w:val="006E2B65"/>
    <w:rsid w:val="006E2FF3"/>
    <w:rsid w:val="006E3478"/>
    <w:rsid w:val="006E4B95"/>
    <w:rsid w:val="006E558A"/>
    <w:rsid w:val="006E6555"/>
    <w:rsid w:val="006E7367"/>
    <w:rsid w:val="006E7684"/>
    <w:rsid w:val="006E7B31"/>
    <w:rsid w:val="006F0265"/>
    <w:rsid w:val="006F0E5E"/>
    <w:rsid w:val="006F2219"/>
    <w:rsid w:val="006F311A"/>
    <w:rsid w:val="006F39CC"/>
    <w:rsid w:val="006F3B0F"/>
    <w:rsid w:val="006F3D8E"/>
    <w:rsid w:val="006F4839"/>
    <w:rsid w:val="006F559F"/>
    <w:rsid w:val="006F59D5"/>
    <w:rsid w:val="006F5F0F"/>
    <w:rsid w:val="006F604C"/>
    <w:rsid w:val="006F68B7"/>
    <w:rsid w:val="006F7BC1"/>
    <w:rsid w:val="006F7C13"/>
    <w:rsid w:val="007006C2"/>
    <w:rsid w:val="00700912"/>
    <w:rsid w:val="007009C4"/>
    <w:rsid w:val="00700C38"/>
    <w:rsid w:val="00701466"/>
    <w:rsid w:val="007026DB"/>
    <w:rsid w:val="00702700"/>
    <w:rsid w:val="00702740"/>
    <w:rsid w:val="00702C1F"/>
    <w:rsid w:val="007031DD"/>
    <w:rsid w:val="007041AC"/>
    <w:rsid w:val="007049D8"/>
    <w:rsid w:val="00705EF1"/>
    <w:rsid w:val="00707683"/>
    <w:rsid w:val="0071023B"/>
    <w:rsid w:val="00710C3E"/>
    <w:rsid w:val="0071217B"/>
    <w:rsid w:val="00712807"/>
    <w:rsid w:val="00712EDE"/>
    <w:rsid w:val="00713104"/>
    <w:rsid w:val="007136ED"/>
    <w:rsid w:val="00713DE4"/>
    <w:rsid w:val="00714202"/>
    <w:rsid w:val="0071469F"/>
    <w:rsid w:val="00716C84"/>
    <w:rsid w:val="00716CE4"/>
    <w:rsid w:val="007172D4"/>
    <w:rsid w:val="0071780F"/>
    <w:rsid w:val="00717A04"/>
    <w:rsid w:val="00720024"/>
    <w:rsid w:val="007202C2"/>
    <w:rsid w:val="0072114A"/>
    <w:rsid w:val="0072116F"/>
    <w:rsid w:val="00721335"/>
    <w:rsid w:val="00721447"/>
    <w:rsid w:val="00721854"/>
    <w:rsid w:val="007227EC"/>
    <w:rsid w:val="0072387D"/>
    <w:rsid w:val="00723A5B"/>
    <w:rsid w:val="00723DAD"/>
    <w:rsid w:val="00723E68"/>
    <w:rsid w:val="00723F52"/>
    <w:rsid w:val="00724102"/>
    <w:rsid w:val="00724161"/>
    <w:rsid w:val="00724ED2"/>
    <w:rsid w:val="00725162"/>
    <w:rsid w:val="00725199"/>
    <w:rsid w:val="0072563C"/>
    <w:rsid w:val="00727155"/>
    <w:rsid w:val="00727A2F"/>
    <w:rsid w:val="00730596"/>
    <w:rsid w:val="00730787"/>
    <w:rsid w:val="00731225"/>
    <w:rsid w:val="0073190B"/>
    <w:rsid w:val="007322FF"/>
    <w:rsid w:val="0073237E"/>
    <w:rsid w:val="00732C67"/>
    <w:rsid w:val="00732F85"/>
    <w:rsid w:val="00733B37"/>
    <w:rsid w:val="007346F7"/>
    <w:rsid w:val="00734978"/>
    <w:rsid w:val="00734A1C"/>
    <w:rsid w:val="0073578A"/>
    <w:rsid w:val="00735B6D"/>
    <w:rsid w:val="00735BEA"/>
    <w:rsid w:val="00735C7A"/>
    <w:rsid w:val="00736415"/>
    <w:rsid w:val="00736CD2"/>
    <w:rsid w:val="0074084A"/>
    <w:rsid w:val="00740B5E"/>
    <w:rsid w:val="00740D89"/>
    <w:rsid w:val="00741001"/>
    <w:rsid w:val="0074103C"/>
    <w:rsid w:val="00742F07"/>
    <w:rsid w:val="00745167"/>
    <w:rsid w:val="00745AE8"/>
    <w:rsid w:val="00746484"/>
    <w:rsid w:val="00747004"/>
    <w:rsid w:val="007476E5"/>
    <w:rsid w:val="0074778E"/>
    <w:rsid w:val="00747D10"/>
    <w:rsid w:val="0075024E"/>
    <w:rsid w:val="00750E8B"/>
    <w:rsid w:val="00750FA4"/>
    <w:rsid w:val="0075158F"/>
    <w:rsid w:val="0075183C"/>
    <w:rsid w:val="00751E80"/>
    <w:rsid w:val="00752862"/>
    <w:rsid w:val="00752863"/>
    <w:rsid w:val="00752E17"/>
    <w:rsid w:val="00753200"/>
    <w:rsid w:val="00753C44"/>
    <w:rsid w:val="007550B8"/>
    <w:rsid w:val="0075576B"/>
    <w:rsid w:val="007560CC"/>
    <w:rsid w:val="00756D5F"/>
    <w:rsid w:val="00757618"/>
    <w:rsid w:val="00757767"/>
    <w:rsid w:val="00760444"/>
    <w:rsid w:val="00760AC7"/>
    <w:rsid w:val="007610F9"/>
    <w:rsid w:val="007612AB"/>
    <w:rsid w:val="00761989"/>
    <w:rsid w:val="00761FEF"/>
    <w:rsid w:val="007621F9"/>
    <w:rsid w:val="00762534"/>
    <w:rsid w:val="00762C96"/>
    <w:rsid w:val="00762F43"/>
    <w:rsid w:val="0076341E"/>
    <w:rsid w:val="0076355E"/>
    <w:rsid w:val="007635FE"/>
    <w:rsid w:val="00763B01"/>
    <w:rsid w:val="00763B61"/>
    <w:rsid w:val="00764C4F"/>
    <w:rsid w:val="00765E8D"/>
    <w:rsid w:val="007669AA"/>
    <w:rsid w:val="00766A18"/>
    <w:rsid w:val="007700D6"/>
    <w:rsid w:val="0077034F"/>
    <w:rsid w:val="007704EB"/>
    <w:rsid w:val="00771970"/>
    <w:rsid w:val="00771B79"/>
    <w:rsid w:val="0077262F"/>
    <w:rsid w:val="0077273C"/>
    <w:rsid w:val="00773524"/>
    <w:rsid w:val="007738D8"/>
    <w:rsid w:val="00774779"/>
    <w:rsid w:val="00774A85"/>
    <w:rsid w:val="00774AB8"/>
    <w:rsid w:val="007750C9"/>
    <w:rsid w:val="0077546D"/>
    <w:rsid w:val="00775EA0"/>
    <w:rsid w:val="0077659A"/>
    <w:rsid w:val="00776A77"/>
    <w:rsid w:val="00776CB6"/>
    <w:rsid w:val="00777BF3"/>
    <w:rsid w:val="00780B4B"/>
    <w:rsid w:val="0078136A"/>
    <w:rsid w:val="007816CE"/>
    <w:rsid w:val="007818B0"/>
    <w:rsid w:val="00782018"/>
    <w:rsid w:val="007825EB"/>
    <w:rsid w:val="00782E4E"/>
    <w:rsid w:val="00783CFC"/>
    <w:rsid w:val="00784203"/>
    <w:rsid w:val="0078484B"/>
    <w:rsid w:val="0078499F"/>
    <w:rsid w:val="007849E7"/>
    <w:rsid w:val="00784A3A"/>
    <w:rsid w:val="00785028"/>
    <w:rsid w:val="00785083"/>
    <w:rsid w:val="00785D8B"/>
    <w:rsid w:val="007878EE"/>
    <w:rsid w:val="00787965"/>
    <w:rsid w:val="0079060B"/>
    <w:rsid w:val="00790895"/>
    <w:rsid w:val="007909CE"/>
    <w:rsid w:val="00790DB0"/>
    <w:rsid w:val="007910B6"/>
    <w:rsid w:val="00791511"/>
    <w:rsid w:val="00791766"/>
    <w:rsid w:val="00791E51"/>
    <w:rsid w:val="00792001"/>
    <w:rsid w:val="00792474"/>
    <w:rsid w:val="0079253F"/>
    <w:rsid w:val="007928E4"/>
    <w:rsid w:val="00793400"/>
    <w:rsid w:val="007936F2"/>
    <w:rsid w:val="007952E4"/>
    <w:rsid w:val="007953E1"/>
    <w:rsid w:val="0079563F"/>
    <w:rsid w:val="00795DF5"/>
    <w:rsid w:val="007976D6"/>
    <w:rsid w:val="007A05BD"/>
    <w:rsid w:val="007A0953"/>
    <w:rsid w:val="007A0958"/>
    <w:rsid w:val="007A0E5A"/>
    <w:rsid w:val="007A16C0"/>
    <w:rsid w:val="007A1D17"/>
    <w:rsid w:val="007A1DB2"/>
    <w:rsid w:val="007A2C00"/>
    <w:rsid w:val="007A3760"/>
    <w:rsid w:val="007A4140"/>
    <w:rsid w:val="007A48B4"/>
    <w:rsid w:val="007A5761"/>
    <w:rsid w:val="007A5A46"/>
    <w:rsid w:val="007A5B3D"/>
    <w:rsid w:val="007A6A81"/>
    <w:rsid w:val="007A6BA9"/>
    <w:rsid w:val="007A714A"/>
    <w:rsid w:val="007A754A"/>
    <w:rsid w:val="007A771C"/>
    <w:rsid w:val="007A7C0B"/>
    <w:rsid w:val="007A7C24"/>
    <w:rsid w:val="007B011C"/>
    <w:rsid w:val="007B04F3"/>
    <w:rsid w:val="007B1290"/>
    <w:rsid w:val="007B1E40"/>
    <w:rsid w:val="007B21E0"/>
    <w:rsid w:val="007B3D95"/>
    <w:rsid w:val="007B4352"/>
    <w:rsid w:val="007B453B"/>
    <w:rsid w:val="007B5DC7"/>
    <w:rsid w:val="007B6219"/>
    <w:rsid w:val="007B652A"/>
    <w:rsid w:val="007B6FCF"/>
    <w:rsid w:val="007C0830"/>
    <w:rsid w:val="007C0B14"/>
    <w:rsid w:val="007C1701"/>
    <w:rsid w:val="007C1975"/>
    <w:rsid w:val="007C43BC"/>
    <w:rsid w:val="007C470C"/>
    <w:rsid w:val="007C4B60"/>
    <w:rsid w:val="007C58E5"/>
    <w:rsid w:val="007C5F58"/>
    <w:rsid w:val="007C631A"/>
    <w:rsid w:val="007C67C8"/>
    <w:rsid w:val="007C67FC"/>
    <w:rsid w:val="007C6A41"/>
    <w:rsid w:val="007C70CD"/>
    <w:rsid w:val="007C7230"/>
    <w:rsid w:val="007C7D1D"/>
    <w:rsid w:val="007D1F57"/>
    <w:rsid w:val="007D26A6"/>
    <w:rsid w:val="007D2A6D"/>
    <w:rsid w:val="007D2A8E"/>
    <w:rsid w:val="007D3A86"/>
    <w:rsid w:val="007D3BAF"/>
    <w:rsid w:val="007D4035"/>
    <w:rsid w:val="007D4155"/>
    <w:rsid w:val="007D4813"/>
    <w:rsid w:val="007D4AED"/>
    <w:rsid w:val="007D4E03"/>
    <w:rsid w:val="007D5284"/>
    <w:rsid w:val="007D6C99"/>
    <w:rsid w:val="007D7475"/>
    <w:rsid w:val="007D7813"/>
    <w:rsid w:val="007E02C2"/>
    <w:rsid w:val="007E1D2D"/>
    <w:rsid w:val="007E29B0"/>
    <w:rsid w:val="007E3857"/>
    <w:rsid w:val="007E4FB3"/>
    <w:rsid w:val="007E5704"/>
    <w:rsid w:val="007E732F"/>
    <w:rsid w:val="007F0486"/>
    <w:rsid w:val="007F0EDF"/>
    <w:rsid w:val="007F1B73"/>
    <w:rsid w:val="007F201A"/>
    <w:rsid w:val="007F2729"/>
    <w:rsid w:val="007F2D95"/>
    <w:rsid w:val="007F467C"/>
    <w:rsid w:val="007F483F"/>
    <w:rsid w:val="007F5DB0"/>
    <w:rsid w:val="007F5F35"/>
    <w:rsid w:val="007F6451"/>
    <w:rsid w:val="007F6512"/>
    <w:rsid w:val="007F669C"/>
    <w:rsid w:val="007F74C6"/>
    <w:rsid w:val="007F77ED"/>
    <w:rsid w:val="007F7B7C"/>
    <w:rsid w:val="007F7D12"/>
    <w:rsid w:val="0080026A"/>
    <w:rsid w:val="0080026F"/>
    <w:rsid w:val="0080099F"/>
    <w:rsid w:val="00801D42"/>
    <w:rsid w:val="00802173"/>
    <w:rsid w:val="00802215"/>
    <w:rsid w:val="00802302"/>
    <w:rsid w:val="0080296E"/>
    <w:rsid w:val="00803BFE"/>
    <w:rsid w:val="00803F83"/>
    <w:rsid w:val="00804703"/>
    <w:rsid w:val="0080494E"/>
    <w:rsid w:val="00804AC7"/>
    <w:rsid w:val="00804EE3"/>
    <w:rsid w:val="00804F25"/>
    <w:rsid w:val="00806D9D"/>
    <w:rsid w:val="008076CA"/>
    <w:rsid w:val="00807D9E"/>
    <w:rsid w:val="00810260"/>
    <w:rsid w:val="00810A1D"/>
    <w:rsid w:val="008112D7"/>
    <w:rsid w:val="0081155C"/>
    <w:rsid w:val="00811B21"/>
    <w:rsid w:val="00811C1E"/>
    <w:rsid w:val="00813218"/>
    <w:rsid w:val="0081341D"/>
    <w:rsid w:val="00813775"/>
    <w:rsid w:val="00813DEF"/>
    <w:rsid w:val="00817F9A"/>
    <w:rsid w:val="008211F4"/>
    <w:rsid w:val="008215C6"/>
    <w:rsid w:val="008227D9"/>
    <w:rsid w:val="00822857"/>
    <w:rsid w:val="00824875"/>
    <w:rsid w:val="008267C6"/>
    <w:rsid w:val="00827288"/>
    <w:rsid w:val="008303F1"/>
    <w:rsid w:val="00831181"/>
    <w:rsid w:val="00831471"/>
    <w:rsid w:val="0083186A"/>
    <w:rsid w:val="008318BE"/>
    <w:rsid w:val="008329B9"/>
    <w:rsid w:val="00832D32"/>
    <w:rsid w:val="00833751"/>
    <w:rsid w:val="00834146"/>
    <w:rsid w:val="00834ECE"/>
    <w:rsid w:val="00834F51"/>
    <w:rsid w:val="00835D9A"/>
    <w:rsid w:val="00835FB9"/>
    <w:rsid w:val="00835FDB"/>
    <w:rsid w:val="00836248"/>
    <w:rsid w:val="00836920"/>
    <w:rsid w:val="00837D1E"/>
    <w:rsid w:val="008410F1"/>
    <w:rsid w:val="00841146"/>
    <w:rsid w:val="0084193E"/>
    <w:rsid w:val="0084229B"/>
    <w:rsid w:val="0084242D"/>
    <w:rsid w:val="00842BAF"/>
    <w:rsid w:val="00842BE7"/>
    <w:rsid w:val="008435F6"/>
    <w:rsid w:val="00843896"/>
    <w:rsid w:val="00844ADB"/>
    <w:rsid w:val="00844FCC"/>
    <w:rsid w:val="008468A1"/>
    <w:rsid w:val="008468D8"/>
    <w:rsid w:val="00846B73"/>
    <w:rsid w:val="00847B4E"/>
    <w:rsid w:val="0085016C"/>
    <w:rsid w:val="00850B5B"/>
    <w:rsid w:val="008510C9"/>
    <w:rsid w:val="008511DD"/>
    <w:rsid w:val="0085188C"/>
    <w:rsid w:val="00851B6C"/>
    <w:rsid w:val="0085243B"/>
    <w:rsid w:val="008550F5"/>
    <w:rsid w:val="00855468"/>
    <w:rsid w:val="0085579A"/>
    <w:rsid w:val="00855B78"/>
    <w:rsid w:val="00855CED"/>
    <w:rsid w:val="00856944"/>
    <w:rsid w:val="00856B47"/>
    <w:rsid w:val="008573FD"/>
    <w:rsid w:val="00857C81"/>
    <w:rsid w:val="00857EC5"/>
    <w:rsid w:val="0086012C"/>
    <w:rsid w:val="008611C7"/>
    <w:rsid w:val="00861615"/>
    <w:rsid w:val="0086297C"/>
    <w:rsid w:val="00862EC7"/>
    <w:rsid w:val="00862F3E"/>
    <w:rsid w:val="00863FA5"/>
    <w:rsid w:val="00864F66"/>
    <w:rsid w:val="00866DB7"/>
    <w:rsid w:val="008674FA"/>
    <w:rsid w:val="00870413"/>
    <w:rsid w:val="00870A49"/>
    <w:rsid w:val="00871661"/>
    <w:rsid w:val="008718B3"/>
    <w:rsid w:val="00871AF8"/>
    <w:rsid w:val="00872155"/>
    <w:rsid w:val="008723BE"/>
    <w:rsid w:val="0087279C"/>
    <w:rsid w:val="00872D3E"/>
    <w:rsid w:val="008730CB"/>
    <w:rsid w:val="00873B06"/>
    <w:rsid w:val="00873CCA"/>
    <w:rsid w:val="00875102"/>
    <w:rsid w:val="00875570"/>
    <w:rsid w:val="00875722"/>
    <w:rsid w:val="008771A2"/>
    <w:rsid w:val="00877583"/>
    <w:rsid w:val="008776E3"/>
    <w:rsid w:val="008777FC"/>
    <w:rsid w:val="008779B7"/>
    <w:rsid w:val="00877A69"/>
    <w:rsid w:val="00877AC7"/>
    <w:rsid w:val="008802EE"/>
    <w:rsid w:val="008803E4"/>
    <w:rsid w:val="00880FE3"/>
    <w:rsid w:val="00881563"/>
    <w:rsid w:val="00881C92"/>
    <w:rsid w:val="00882A81"/>
    <w:rsid w:val="00883047"/>
    <w:rsid w:val="0088311F"/>
    <w:rsid w:val="008837BA"/>
    <w:rsid w:val="0088448B"/>
    <w:rsid w:val="008848D8"/>
    <w:rsid w:val="00884AF6"/>
    <w:rsid w:val="00885855"/>
    <w:rsid w:val="00885FAB"/>
    <w:rsid w:val="00886322"/>
    <w:rsid w:val="008864FE"/>
    <w:rsid w:val="0088715D"/>
    <w:rsid w:val="008871C5"/>
    <w:rsid w:val="00887D33"/>
    <w:rsid w:val="00887FE0"/>
    <w:rsid w:val="0089015F"/>
    <w:rsid w:val="00890C3F"/>
    <w:rsid w:val="0089104E"/>
    <w:rsid w:val="0089111C"/>
    <w:rsid w:val="0089124A"/>
    <w:rsid w:val="00891277"/>
    <w:rsid w:val="00891DAA"/>
    <w:rsid w:val="00892353"/>
    <w:rsid w:val="0089253B"/>
    <w:rsid w:val="008939A8"/>
    <w:rsid w:val="00894068"/>
    <w:rsid w:val="00895411"/>
    <w:rsid w:val="00895D22"/>
    <w:rsid w:val="00895D3E"/>
    <w:rsid w:val="008963B2"/>
    <w:rsid w:val="00896BC4"/>
    <w:rsid w:val="00896FA4"/>
    <w:rsid w:val="00897957"/>
    <w:rsid w:val="00897C72"/>
    <w:rsid w:val="008A0105"/>
    <w:rsid w:val="008A0542"/>
    <w:rsid w:val="008A0DEC"/>
    <w:rsid w:val="008A1025"/>
    <w:rsid w:val="008A1027"/>
    <w:rsid w:val="008A12F4"/>
    <w:rsid w:val="008A2368"/>
    <w:rsid w:val="008A35DF"/>
    <w:rsid w:val="008A3D3F"/>
    <w:rsid w:val="008A42BA"/>
    <w:rsid w:val="008A535E"/>
    <w:rsid w:val="008A5681"/>
    <w:rsid w:val="008A6263"/>
    <w:rsid w:val="008A70E4"/>
    <w:rsid w:val="008A7194"/>
    <w:rsid w:val="008B077F"/>
    <w:rsid w:val="008B14B0"/>
    <w:rsid w:val="008B1533"/>
    <w:rsid w:val="008B16BD"/>
    <w:rsid w:val="008B2113"/>
    <w:rsid w:val="008B24FC"/>
    <w:rsid w:val="008B351B"/>
    <w:rsid w:val="008B58DC"/>
    <w:rsid w:val="008B6D1C"/>
    <w:rsid w:val="008B789E"/>
    <w:rsid w:val="008B797B"/>
    <w:rsid w:val="008B7DB3"/>
    <w:rsid w:val="008C1366"/>
    <w:rsid w:val="008C173D"/>
    <w:rsid w:val="008C196E"/>
    <w:rsid w:val="008C1E16"/>
    <w:rsid w:val="008C2EDF"/>
    <w:rsid w:val="008C2F6E"/>
    <w:rsid w:val="008C306C"/>
    <w:rsid w:val="008C4216"/>
    <w:rsid w:val="008C4537"/>
    <w:rsid w:val="008C5528"/>
    <w:rsid w:val="008C5DF9"/>
    <w:rsid w:val="008C5F24"/>
    <w:rsid w:val="008C603D"/>
    <w:rsid w:val="008C60BF"/>
    <w:rsid w:val="008C67F8"/>
    <w:rsid w:val="008C6D69"/>
    <w:rsid w:val="008C7139"/>
    <w:rsid w:val="008C730D"/>
    <w:rsid w:val="008C7ACF"/>
    <w:rsid w:val="008C7D55"/>
    <w:rsid w:val="008C7E1B"/>
    <w:rsid w:val="008D1128"/>
    <w:rsid w:val="008D11C9"/>
    <w:rsid w:val="008D138F"/>
    <w:rsid w:val="008D148F"/>
    <w:rsid w:val="008D2338"/>
    <w:rsid w:val="008D2450"/>
    <w:rsid w:val="008D2CD0"/>
    <w:rsid w:val="008D3540"/>
    <w:rsid w:val="008D47B4"/>
    <w:rsid w:val="008D4B80"/>
    <w:rsid w:val="008D4E88"/>
    <w:rsid w:val="008D4F53"/>
    <w:rsid w:val="008D5209"/>
    <w:rsid w:val="008D59B6"/>
    <w:rsid w:val="008D5A27"/>
    <w:rsid w:val="008D5DCE"/>
    <w:rsid w:val="008D5E90"/>
    <w:rsid w:val="008D64DB"/>
    <w:rsid w:val="008D6E36"/>
    <w:rsid w:val="008D6F91"/>
    <w:rsid w:val="008D781A"/>
    <w:rsid w:val="008D7C4E"/>
    <w:rsid w:val="008E0486"/>
    <w:rsid w:val="008E06A1"/>
    <w:rsid w:val="008E0A11"/>
    <w:rsid w:val="008E1A8C"/>
    <w:rsid w:val="008E2683"/>
    <w:rsid w:val="008E36ED"/>
    <w:rsid w:val="008E3919"/>
    <w:rsid w:val="008E391B"/>
    <w:rsid w:val="008E5DCE"/>
    <w:rsid w:val="008E6CA9"/>
    <w:rsid w:val="008E6CE8"/>
    <w:rsid w:val="008E7334"/>
    <w:rsid w:val="008E7976"/>
    <w:rsid w:val="008F221B"/>
    <w:rsid w:val="008F2F8D"/>
    <w:rsid w:val="008F35CB"/>
    <w:rsid w:val="008F371E"/>
    <w:rsid w:val="008F373F"/>
    <w:rsid w:val="008F4630"/>
    <w:rsid w:val="008F5439"/>
    <w:rsid w:val="008F584F"/>
    <w:rsid w:val="008F6018"/>
    <w:rsid w:val="008F622C"/>
    <w:rsid w:val="008F63FD"/>
    <w:rsid w:val="008F7BBE"/>
    <w:rsid w:val="008F7E56"/>
    <w:rsid w:val="009001E4"/>
    <w:rsid w:val="00901E6F"/>
    <w:rsid w:val="009030A9"/>
    <w:rsid w:val="00903A5C"/>
    <w:rsid w:val="00903AB4"/>
    <w:rsid w:val="00903B2E"/>
    <w:rsid w:val="00903D87"/>
    <w:rsid w:val="00903EB5"/>
    <w:rsid w:val="009040D8"/>
    <w:rsid w:val="009045C7"/>
    <w:rsid w:val="00904F30"/>
    <w:rsid w:val="0090515D"/>
    <w:rsid w:val="009051DA"/>
    <w:rsid w:val="009060D9"/>
    <w:rsid w:val="00906A08"/>
    <w:rsid w:val="00906E6F"/>
    <w:rsid w:val="009103BE"/>
    <w:rsid w:val="00910911"/>
    <w:rsid w:val="00911115"/>
    <w:rsid w:val="00911540"/>
    <w:rsid w:val="0091157F"/>
    <w:rsid w:val="009117AA"/>
    <w:rsid w:val="0091213E"/>
    <w:rsid w:val="009123D8"/>
    <w:rsid w:val="009126A5"/>
    <w:rsid w:val="0091297F"/>
    <w:rsid w:val="009129BB"/>
    <w:rsid w:val="00913A31"/>
    <w:rsid w:val="009154DF"/>
    <w:rsid w:val="0091592C"/>
    <w:rsid w:val="00915D20"/>
    <w:rsid w:val="0091793E"/>
    <w:rsid w:val="0091797C"/>
    <w:rsid w:val="00917C46"/>
    <w:rsid w:val="00920810"/>
    <w:rsid w:val="00920C40"/>
    <w:rsid w:val="0092111C"/>
    <w:rsid w:val="009218A6"/>
    <w:rsid w:val="0092225E"/>
    <w:rsid w:val="009230A3"/>
    <w:rsid w:val="0092310A"/>
    <w:rsid w:val="0092332A"/>
    <w:rsid w:val="00923730"/>
    <w:rsid w:val="00923B81"/>
    <w:rsid w:val="00924347"/>
    <w:rsid w:val="0092473D"/>
    <w:rsid w:val="009249CA"/>
    <w:rsid w:val="00924A85"/>
    <w:rsid w:val="009251A3"/>
    <w:rsid w:val="009253F6"/>
    <w:rsid w:val="00925DC9"/>
    <w:rsid w:val="009262C5"/>
    <w:rsid w:val="00926689"/>
    <w:rsid w:val="009269A9"/>
    <w:rsid w:val="00926B6F"/>
    <w:rsid w:val="00926E45"/>
    <w:rsid w:val="00927286"/>
    <w:rsid w:val="00927776"/>
    <w:rsid w:val="00927AA9"/>
    <w:rsid w:val="00927F93"/>
    <w:rsid w:val="00927FB5"/>
    <w:rsid w:val="0093017B"/>
    <w:rsid w:val="009307C5"/>
    <w:rsid w:val="0093167F"/>
    <w:rsid w:val="00932F72"/>
    <w:rsid w:val="009330DE"/>
    <w:rsid w:val="00934115"/>
    <w:rsid w:val="00935B07"/>
    <w:rsid w:val="00936F18"/>
    <w:rsid w:val="00937960"/>
    <w:rsid w:val="0094134F"/>
    <w:rsid w:val="00941A84"/>
    <w:rsid w:val="00943CB6"/>
    <w:rsid w:val="00943D96"/>
    <w:rsid w:val="009441D7"/>
    <w:rsid w:val="00945FF4"/>
    <w:rsid w:val="009478DA"/>
    <w:rsid w:val="0095104D"/>
    <w:rsid w:val="00951FF9"/>
    <w:rsid w:val="009520DF"/>
    <w:rsid w:val="009533DF"/>
    <w:rsid w:val="00953638"/>
    <w:rsid w:val="009547DF"/>
    <w:rsid w:val="00955361"/>
    <w:rsid w:val="009554B9"/>
    <w:rsid w:val="009561D2"/>
    <w:rsid w:val="00956361"/>
    <w:rsid w:val="0095687F"/>
    <w:rsid w:val="00956D65"/>
    <w:rsid w:val="00956EFC"/>
    <w:rsid w:val="0095703F"/>
    <w:rsid w:val="0095706E"/>
    <w:rsid w:val="009570BC"/>
    <w:rsid w:val="009579C5"/>
    <w:rsid w:val="00957DDB"/>
    <w:rsid w:val="00960A3C"/>
    <w:rsid w:val="00960F1F"/>
    <w:rsid w:val="009610AA"/>
    <w:rsid w:val="009622B5"/>
    <w:rsid w:val="009626FA"/>
    <w:rsid w:val="0096278A"/>
    <w:rsid w:val="00962839"/>
    <w:rsid w:val="009643C4"/>
    <w:rsid w:val="00964BC8"/>
    <w:rsid w:val="00964DAA"/>
    <w:rsid w:val="009652E1"/>
    <w:rsid w:val="00965386"/>
    <w:rsid w:val="0096577B"/>
    <w:rsid w:val="00965851"/>
    <w:rsid w:val="00965E89"/>
    <w:rsid w:val="00966D06"/>
    <w:rsid w:val="009671C2"/>
    <w:rsid w:val="00967A58"/>
    <w:rsid w:val="00967BF3"/>
    <w:rsid w:val="00967F9D"/>
    <w:rsid w:val="0097009B"/>
    <w:rsid w:val="00971215"/>
    <w:rsid w:val="00971270"/>
    <w:rsid w:val="00971ADB"/>
    <w:rsid w:val="00971CE1"/>
    <w:rsid w:val="0097449C"/>
    <w:rsid w:val="00974C84"/>
    <w:rsid w:val="00974DA9"/>
    <w:rsid w:val="0097603B"/>
    <w:rsid w:val="00976725"/>
    <w:rsid w:val="00977864"/>
    <w:rsid w:val="009801AA"/>
    <w:rsid w:val="0098135E"/>
    <w:rsid w:val="00981563"/>
    <w:rsid w:val="009817D8"/>
    <w:rsid w:val="00981FAF"/>
    <w:rsid w:val="0098305D"/>
    <w:rsid w:val="0098335D"/>
    <w:rsid w:val="00984FA6"/>
    <w:rsid w:val="00984FC9"/>
    <w:rsid w:val="00985103"/>
    <w:rsid w:val="00985D56"/>
    <w:rsid w:val="0098621A"/>
    <w:rsid w:val="00986C0B"/>
    <w:rsid w:val="00986D35"/>
    <w:rsid w:val="00986FAD"/>
    <w:rsid w:val="00987BB3"/>
    <w:rsid w:val="009906F6"/>
    <w:rsid w:val="0099071F"/>
    <w:rsid w:val="00992015"/>
    <w:rsid w:val="0099285B"/>
    <w:rsid w:val="00992D41"/>
    <w:rsid w:val="0099303B"/>
    <w:rsid w:val="00993AA9"/>
    <w:rsid w:val="00993CED"/>
    <w:rsid w:val="00993F30"/>
    <w:rsid w:val="009953AA"/>
    <w:rsid w:val="00996A17"/>
    <w:rsid w:val="00996B5E"/>
    <w:rsid w:val="00996F74"/>
    <w:rsid w:val="009978C4"/>
    <w:rsid w:val="009A111C"/>
    <w:rsid w:val="009A11C4"/>
    <w:rsid w:val="009A18BE"/>
    <w:rsid w:val="009A211B"/>
    <w:rsid w:val="009A2EF8"/>
    <w:rsid w:val="009A2F6E"/>
    <w:rsid w:val="009A3F17"/>
    <w:rsid w:val="009A407E"/>
    <w:rsid w:val="009A58F0"/>
    <w:rsid w:val="009A614B"/>
    <w:rsid w:val="009B0069"/>
    <w:rsid w:val="009B32A3"/>
    <w:rsid w:val="009B33CB"/>
    <w:rsid w:val="009B4CCE"/>
    <w:rsid w:val="009B60B0"/>
    <w:rsid w:val="009B61D4"/>
    <w:rsid w:val="009B6295"/>
    <w:rsid w:val="009B69A1"/>
    <w:rsid w:val="009B729A"/>
    <w:rsid w:val="009B74F6"/>
    <w:rsid w:val="009B7516"/>
    <w:rsid w:val="009B76A7"/>
    <w:rsid w:val="009C0E86"/>
    <w:rsid w:val="009C1778"/>
    <w:rsid w:val="009C1B4A"/>
    <w:rsid w:val="009C1DAF"/>
    <w:rsid w:val="009C2546"/>
    <w:rsid w:val="009C266D"/>
    <w:rsid w:val="009C28C4"/>
    <w:rsid w:val="009C290A"/>
    <w:rsid w:val="009C2B66"/>
    <w:rsid w:val="009C2E13"/>
    <w:rsid w:val="009C30D7"/>
    <w:rsid w:val="009C3542"/>
    <w:rsid w:val="009C38D1"/>
    <w:rsid w:val="009C38E5"/>
    <w:rsid w:val="009C3E7B"/>
    <w:rsid w:val="009C459D"/>
    <w:rsid w:val="009C487B"/>
    <w:rsid w:val="009C5564"/>
    <w:rsid w:val="009C56E2"/>
    <w:rsid w:val="009C59D2"/>
    <w:rsid w:val="009C63DF"/>
    <w:rsid w:val="009C6510"/>
    <w:rsid w:val="009C690C"/>
    <w:rsid w:val="009C7AAB"/>
    <w:rsid w:val="009C7E41"/>
    <w:rsid w:val="009D024B"/>
    <w:rsid w:val="009D0615"/>
    <w:rsid w:val="009D0683"/>
    <w:rsid w:val="009D07B8"/>
    <w:rsid w:val="009D086C"/>
    <w:rsid w:val="009D1B35"/>
    <w:rsid w:val="009D2BFF"/>
    <w:rsid w:val="009D3A3A"/>
    <w:rsid w:val="009D4B10"/>
    <w:rsid w:val="009D4F99"/>
    <w:rsid w:val="009D4FA9"/>
    <w:rsid w:val="009D69D8"/>
    <w:rsid w:val="009D7310"/>
    <w:rsid w:val="009D7CFC"/>
    <w:rsid w:val="009E02EC"/>
    <w:rsid w:val="009E047A"/>
    <w:rsid w:val="009E059A"/>
    <w:rsid w:val="009E1806"/>
    <w:rsid w:val="009E1EAB"/>
    <w:rsid w:val="009E1F9F"/>
    <w:rsid w:val="009E1FF1"/>
    <w:rsid w:val="009E2F72"/>
    <w:rsid w:val="009E3126"/>
    <w:rsid w:val="009E3F7E"/>
    <w:rsid w:val="009E4044"/>
    <w:rsid w:val="009E4AC9"/>
    <w:rsid w:val="009E5AC3"/>
    <w:rsid w:val="009E5F5A"/>
    <w:rsid w:val="009E72CC"/>
    <w:rsid w:val="009E75F1"/>
    <w:rsid w:val="009E7A94"/>
    <w:rsid w:val="009F0539"/>
    <w:rsid w:val="009F0A33"/>
    <w:rsid w:val="009F1129"/>
    <w:rsid w:val="009F1BCF"/>
    <w:rsid w:val="009F2C68"/>
    <w:rsid w:val="009F3EAF"/>
    <w:rsid w:val="009F3FEB"/>
    <w:rsid w:val="009F4261"/>
    <w:rsid w:val="009F43B9"/>
    <w:rsid w:val="009F4534"/>
    <w:rsid w:val="009F6256"/>
    <w:rsid w:val="009F63E2"/>
    <w:rsid w:val="009F6BF7"/>
    <w:rsid w:val="009F70A2"/>
    <w:rsid w:val="009F7BD5"/>
    <w:rsid w:val="00A0022E"/>
    <w:rsid w:val="00A00872"/>
    <w:rsid w:val="00A017F9"/>
    <w:rsid w:val="00A02243"/>
    <w:rsid w:val="00A02AF4"/>
    <w:rsid w:val="00A03368"/>
    <w:rsid w:val="00A047F9"/>
    <w:rsid w:val="00A04C28"/>
    <w:rsid w:val="00A05AC4"/>
    <w:rsid w:val="00A0607F"/>
    <w:rsid w:val="00A06FF8"/>
    <w:rsid w:val="00A0727E"/>
    <w:rsid w:val="00A07708"/>
    <w:rsid w:val="00A07C58"/>
    <w:rsid w:val="00A07DB1"/>
    <w:rsid w:val="00A07DBD"/>
    <w:rsid w:val="00A109E3"/>
    <w:rsid w:val="00A10BC0"/>
    <w:rsid w:val="00A10D37"/>
    <w:rsid w:val="00A1195E"/>
    <w:rsid w:val="00A11AC3"/>
    <w:rsid w:val="00A11CDB"/>
    <w:rsid w:val="00A12034"/>
    <w:rsid w:val="00A12067"/>
    <w:rsid w:val="00A12993"/>
    <w:rsid w:val="00A13146"/>
    <w:rsid w:val="00A132EB"/>
    <w:rsid w:val="00A1356C"/>
    <w:rsid w:val="00A135DF"/>
    <w:rsid w:val="00A13762"/>
    <w:rsid w:val="00A13A43"/>
    <w:rsid w:val="00A13BAF"/>
    <w:rsid w:val="00A1439D"/>
    <w:rsid w:val="00A1509F"/>
    <w:rsid w:val="00A153A0"/>
    <w:rsid w:val="00A15414"/>
    <w:rsid w:val="00A1579C"/>
    <w:rsid w:val="00A15942"/>
    <w:rsid w:val="00A15D25"/>
    <w:rsid w:val="00A16634"/>
    <w:rsid w:val="00A176EE"/>
    <w:rsid w:val="00A1782B"/>
    <w:rsid w:val="00A20DBE"/>
    <w:rsid w:val="00A21506"/>
    <w:rsid w:val="00A21BC5"/>
    <w:rsid w:val="00A21C26"/>
    <w:rsid w:val="00A21E41"/>
    <w:rsid w:val="00A21EB2"/>
    <w:rsid w:val="00A224F8"/>
    <w:rsid w:val="00A22A0C"/>
    <w:rsid w:val="00A24DF1"/>
    <w:rsid w:val="00A24E59"/>
    <w:rsid w:val="00A25176"/>
    <w:rsid w:val="00A25DBC"/>
    <w:rsid w:val="00A2625D"/>
    <w:rsid w:val="00A26714"/>
    <w:rsid w:val="00A26EEB"/>
    <w:rsid w:val="00A27ECE"/>
    <w:rsid w:val="00A303A7"/>
    <w:rsid w:val="00A30CF3"/>
    <w:rsid w:val="00A313A9"/>
    <w:rsid w:val="00A31751"/>
    <w:rsid w:val="00A32725"/>
    <w:rsid w:val="00A32D36"/>
    <w:rsid w:val="00A32F01"/>
    <w:rsid w:val="00A341AD"/>
    <w:rsid w:val="00A34C78"/>
    <w:rsid w:val="00A35199"/>
    <w:rsid w:val="00A3552A"/>
    <w:rsid w:val="00A35C45"/>
    <w:rsid w:val="00A3606B"/>
    <w:rsid w:val="00A36AD7"/>
    <w:rsid w:val="00A36E2F"/>
    <w:rsid w:val="00A373B7"/>
    <w:rsid w:val="00A40C5D"/>
    <w:rsid w:val="00A41308"/>
    <w:rsid w:val="00A41A6C"/>
    <w:rsid w:val="00A41D4E"/>
    <w:rsid w:val="00A4246F"/>
    <w:rsid w:val="00A44387"/>
    <w:rsid w:val="00A44558"/>
    <w:rsid w:val="00A446C3"/>
    <w:rsid w:val="00A44E51"/>
    <w:rsid w:val="00A44E9C"/>
    <w:rsid w:val="00A451E3"/>
    <w:rsid w:val="00A471BF"/>
    <w:rsid w:val="00A47333"/>
    <w:rsid w:val="00A47A6B"/>
    <w:rsid w:val="00A47F7A"/>
    <w:rsid w:val="00A5031E"/>
    <w:rsid w:val="00A5162D"/>
    <w:rsid w:val="00A517D2"/>
    <w:rsid w:val="00A51991"/>
    <w:rsid w:val="00A51F84"/>
    <w:rsid w:val="00A520B7"/>
    <w:rsid w:val="00A543EF"/>
    <w:rsid w:val="00A545FA"/>
    <w:rsid w:val="00A546D5"/>
    <w:rsid w:val="00A55B16"/>
    <w:rsid w:val="00A55E67"/>
    <w:rsid w:val="00A561AA"/>
    <w:rsid w:val="00A567A8"/>
    <w:rsid w:val="00A56D95"/>
    <w:rsid w:val="00A57B9C"/>
    <w:rsid w:val="00A60451"/>
    <w:rsid w:val="00A60841"/>
    <w:rsid w:val="00A60991"/>
    <w:rsid w:val="00A6099F"/>
    <w:rsid w:val="00A60A54"/>
    <w:rsid w:val="00A61873"/>
    <w:rsid w:val="00A61A2C"/>
    <w:rsid w:val="00A63261"/>
    <w:rsid w:val="00A63AFF"/>
    <w:rsid w:val="00A63B2D"/>
    <w:rsid w:val="00A6461A"/>
    <w:rsid w:val="00A64692"/>
    <w:rsid w:val="00A648B9"/>
    <w:rsid w:val="00A64B8C"/>
    <w:rsid w:val="00A65C7C"/>
    <w:rsid w:val="00A66371"/>
    <w:rsid w:val="00A668D2"/>
    <w:rsid w:val="00A66DFE"/>
    <w:rsid w:val="00A67E7A"/>
    <w:rsid w:val="00A70111"/>
    <w:rsid w:val="00A70A21"/>
    <w:rsid w:val="00A70B5A"/>
    <w:rsid w:val="00A7125E"/>
    <w:rsid w:val="00A718B5"/>
    <w:rsid w:val="00A72336"/>
    <w:rsid w:val="00A7269E"/>
    <w:rsid w:val="00A72814"/>
    <w:rsid w:val="00A72DA2"/>
    <w:rsid w:val="00A72FDB"/>
    <w:rsid w:val="00A73287"/>
    <w:rsid w:val="00A73908"/>
    <w:rsid w:val="00A73DF0"/>
    <w:rsid w:val="00A74E04"/>
    <w:rsid w:val="00A75A2F"/>
    <w:rsid w:val="00A76930"/>
    <w:rsid w:val="00A76BA0"/>
    <w:rsid w:val="00A76F56"/>
    <w:rsid w:val="00A77D60"/>
    <w:rsid w:val="00A77F49"/>
    <w:rsid w:val="00A805B7"/>
    <w:rsid w:val="00A80880"/>
    <w:rsid w:val="00A8093C"/>
    <w:rsid w:val="00A80D82"/>
    <w:rsid w:val="00A810C9"/>
    <w:rsid w:val="00A81A57"/>
    <w:rsid w:val="00A847C6"/>
    <w:rsid w:val="00A85180"/>
    <w:rsid w:val="00A852D0"/>
    <w:rsid w:val="00A86194"/>
    <w:rsid w:val="00A872CB"/>
    <w:rsid w:val="00A87934"/>
    <w:rsid w:val="00A87ADE"/>
    <w:rsid w:val="00A87C4B"/>
    <w:rsid w:val="00A908C9"/>
    <w:rsid w:val="00A9159D"/>
    <w:rsid w:val="00A917DD"/>
    <w:rsid w:val="00A91D5D"/>
    <w:rsid w:val="00A924F7"/>
    <w:rsid w:val="00A9253D"/>
    <w:rsid w:val="00A92931"/>
    <w:rsid w:val="00A939D3"/>
    <w:rsid w:val="00A94A81"/>
    <w:rsid w:val="00A958FA"/>
    <w:rsid w:val="00A966AD"/>
    <w:rsid w:val="00A9741F"/>
    <w:rsid w:val="00A97C13"/>
    <w:rsid w:val="00A97E4E"/>
    <w:rsid w:val="00AA05FB"/>
    <w:rsid w:val="00AA0650"/>
    <w:rsid w:val="00AA0A63"/>
    <w:rsid w:val="00AA0BB7"/>
    <w:rsid w:val="00AA2824"/>
    <w:rsid w:val="00AA3E61"/>
    <w:rsid w:val="00AA4F37"/>
    <w:rsid w:val="00AA5C36"/>
    <w:rsid w:val="00AA650D"/>
    <w:rsid w:val="00AA675C"/>
    <w:rsid w:val="00AB0DC6"/>
    <w:rsid w:val="00AB0EF9"/>
    <w:rsid w:val="00AB12E7"/>
    <w:rsid w:val="00AB1466"/>
    <w:rsid w:val="00AB265A"/>
    <w:rsid w:val="00AB2756"/>
    <w:rsid w:val="00AB2881"/>
    <w:rsid w:val="00AB2BC2"/>
    <w:rsid w:val="00AB2F72"/>
    <w:rsid w:val="00AB3063"/>
    <w:rsid w:val="00AB3781"/>
    <w:rsid w:val="00AB3E48"/>
    <w:rsid w:val="00AB3F70"/>
    <w:rsid w:val="00AB44D2"/>
    <w:rsid w:val="00AB459F"/>
    <w:rsid w:val="00AB4664"/>
    <w:rsid w:val="00AB4BA3"/>
    <w:rsid w:val="00AB56A6"/>
    <w:rsid w:val="00AB5E13"/>
    <w:rsid w:val="00AB650A"/>
    <w:rsid w:val="00AB6C1F"/>
    <w:rsid w:val="00AB6CB8"/>
    <w:rsid w:val="00AB742C"/>
    <w:rsid w:val="00AB75AA"/>
    <w:rsid w:val="00AB766C"/>
    <w:rsid w:val="00AC0213"/>
    <w:rsid w:val="00AC0993"/>
    <w:rsid w:val="00AC0BF8"/>
    <w:rsid w:val="00AC169D"/>
    <w:rsid w:val="00AC198B"/>
    <w:rsid w:val="00AC199D"/>
    <w:rsid w:val="00AC1E3D"/>
    <w:rsid w:val="00AC1FD4"/>
    <w:rsid w:val="00AC284F"/>
    <w:rsid w:val="00AC3ED6"/>
    <w:rsid w:val="00AC5E4A"/>
    <w:rsid w:val="00AC6275"/>
    <w:rsid w:val="00AC63AE"/>
    <w:rsid w:val="00AC6455"/>
    <w:rsid w:val="00AC687F"/>
    <w:rsid w:val="00AC6A12"/>
    <w:rsid w:val="00AC6B0D"/>
    <w:rsid w:val="00AC74A8"/>
    <w:rsid w:val="00AC77BF"/>
    <w:rsid w:val="00AC7D26"/>
    <w:rsid w:val="00AD10DB"/>
    <w:rsid w:val="00AD16B9"/>
    <w:rsid w:val="00AD1EA8"/>
    <w:rsid w:val="00AD1F13"/>
    <w:rsid w:val="00AD2634"/>
    <w:rsid w:val="00AD3837"/>
    <w:rsid w:val="00AD4334"/>
    <w:rsid w:val="00AD5480"/>
    <w:rsid w:val="00AD5728"/>
    <w:rsid w:val="00AD588E"/>
    <w:rsid w:val="00AD5D07"/>
    <w:rsid w:val="00AD601D"/>
    <w:rsid w:val="00AD70A1"/>
    <w:rsid w:val="00AD71AD"/>
    <w:rsid w:val="00AD7583"/>
    <w:rsid w:val="00AD7938"/>
    <w:rsid w:val="00AD795B"/>
    <w:rsid w:val="00AD79EF"/>
    <w:rsid w:val="00AD7BF9"/>
    <w:rsid w:val="00AD7FB3"/>
    <w:rsid w:val="00AE02F4"/>
    <w:rsid w:val="00AE1E03"/>
    <w:rsid w:val="00AE285C"/>
    <w:rsid w:val="00AE2EBA"/>
    <w:rsid w:val="00AE3F7F"/>
    <w:rsid w:val="00AE3F9F"/>
    <w:rsid w:val="00AE5E50"/>
    <w:rsid w:val="00AE6203"/>
    <w:rsid w:val="00AE6C50"/>
    <w:rsid w:val="00AE6D81"/>
    <w:rsid w:val="00AE7BB6"/>
    <w:rsid w:val="00AF015C"/>
    <w:rsid w:val="00AF0801"/>
    <w:rsid w:val="00AF083B"/>
    <w:rsid w:val="00AF0B05"/>
    <w:rsid w:val="00AF0B4C"/>
    <w:rsid w:val="00AF1545"/>
    <w:rsid w:val="00AF2357"/>
    <w:rsid w:val="00AF31F0"/>
    <w:rsid w:val="00AF3651"/>
    <w:rsid w:val="00AF40E6"/>
    <w:rsid w:val="00AF4628"/>
    <w:rsid w:val="00AF4BBE"/>
    <w:rsid w:val="00AF58D9"/>
    <w:rsid w:val="00AF5AF7"/>
    <w:rsid w:val="00AF5B2B"/>
    <w:rsid w:val="00AF6E59"/>
    <w:rsid w:val="00AF6E6D"/>
    <w:rsid w:val="00AF72E1"/>
    <w:rsid w:val="00AF7990"/>
    <w:rsid w:val="00B00969"/>
    <w:rsid w:val="00B01E2E"/>
    <w:rsid w:val="00B01E51"/>
    <w:rsid w:val="00B01FC6"/>
    <w:rsid w:val="00B0222F"/>
    <w:rsid w:val="00B02791"/>
    <w:rsid w:val="00B02D77"/>
    <w:rsid w:val="00B03A14"/>
    <w:rsid w:val="00B0436F"/>
    <w:rsid w:val="00B054B1"/>
    <w:rsid w:val="00B06276"/>
    <w:rsid w:val="00B06D15"/>
    <w:rsid w:val="00B06D32"/>
    <w:rsid w:val="00B073C0"/>
    <w:rsid w:val="00B07457"/>
    <w:rsid w:val="00B078C3"/>
    <w:rsid w:val="00B10A0E"/>
    <w:rsid w:val="00B10B2E"/>
    <w:rsid w:val="00B1105A"/>
    <w:rsid w:val="00B11A7B"/>
    <w:rsid w:val="00B1254D"/>
    <w:rsid w:val="00B125D3"/>
    <w:rsid w:val="00B12BC2"/>
    <w:rsid w:val="00B130C5"/>
    <w:rsid w:val="00B1380B"/>
    <w:rsid w:val="00B13DF0"/>
    <w:rsid w:val="00B1496D"/>
    <w:rsid w:val="00B14ECE"/>
    <w:rsid w:val="00B15148"/>
    <w:rsid w:val="00B15417"/>
    <w:rsid w:val="00B15622"/>
    <w:rsid w:val="00B15C99"/>
    <w:rsid w:val="00B16E97"/>
    <w:rsid w:val="00B2087C"/>
    <w:rsid w:val="00B20926"/>
    <w:rsid w:val="00B21E5B"/>
    <w:rsid w:val="00B2233E"/>
    <w:rsid w:val="00B22728"/>
    <w:rsid w:val="00B2296A"/>
    <w:rsid w:val="00B235F0"/>
    <w:rsid w:val="00B24B42"/>
    <w:rsid w:val="00B251E2"/>
    <w:rsid w:val="00B25730"/>
    <w:rsid w:val="00B25B04"/>
    <w:rsid w:val="00B25D32"/>
    <w:rsid w:val="00B26C9D"/>
    <w:rsid w:val="00B2790D"/>
    <w:rsid w:val="00B27E24"/>
    <w:rsid w:val="00B30811"/>
    <w:rsid w:val="00B30BE0"/>
    <w:rsid w:val="00B316AF"/>
    <w:rsid w:val="00B318E3"/>
    <w:rsid w:val="00B33E70"/>
    <w:rsid w:val="00B341A0"/>
    <w:rsid w:val="00B343B9"/>
    <w:rsid w:val="00B347AF"/>
    <w:rsid w:val="00B348BE"/>
    <w:rsid w:val="00B3597B"/>
    <w:rsid w:val="00B35A29"/>
    <w:rsid w:val="00B3755B"/>
    <w:rsid w:val="00B402DF"/>
    <w:rsid w:val="00B4040D"/>
    <w:rsid w:val="00B4079D"/>
    <w:rsid w:val="00B40E5F"/>
    <w:rsid w:val="00B418BF"/>
    <w:rsid w:val="00B42BE6"/>
    <w:rsid w:val="00B444B3"/>
    <w:rsid w:val="00B4454E"/>
    <w:rsid w:val="00B44AD5"/>
    <w:rsid w:val="00B44BA7"/>
    <w:rsid w:val="00B44D02"/>
    <w:rsid w:val="00B45168"/>
    <w:rsid w:val="00B45551"/>
    <w:rsid w:val="00B45C90"/>
    <w:rsid w:val="00B460E8"/>
    <w:rsid w:val="00B4650C"/>
    <w:rsid w:val="00B46770"/>
    <w:rsid w:val="00B46B50"/>
    <w:rsid w:val="00B46BBA"/>
    <w:rsid w:val="00B471AF"/>
    <w:rsid w:val="00B473D3"/>
    <w:rsid w:val="00B47990"/>
    <w:rsid w:val="00B50539"/>
    <w:rsid w:val="00B52069"/>
    <w:rsid w:val="00B52332"/>
    <w:rsid w:val="00B5298A"/>
    <w:rsid w:val="00B5434A"/>
    <w:rsid w:val="00B54844"/>
    <w:rsid w:val="00B556BE"/>
    <w:rsid w:val="00B55BA6"/>
    <w:rsid w:val="00B567EB"/>
    <w:rsid w:val="00B568C2"/>
    <w:rsid w:val="00B57068"/>
    <w:rsid w:val="00B578C3"/>
    <w:rsid w:val="00B61F20"/>
    <w:rsid w:val="00B62DA2"/>
    <w:rsid w:val="00B62EF2"/>
    <w:rsid w:val="00B6300B"/>
    <w:rsid w:val="00B633B8"/>
    <w:rsid w:val="00B63575"/>
    <w:rsid w:val="00B64CD4"/>
    <w:rsid w:val="00B656D6"/>
    <w:rsid w:val="00B65AA0"/>
    <w:rsid w:val="00B663C0"/>
    <w:rsid w:val="00B66E37"/>
    <w:rsid w:val="00B679A1"/>
    <w:rsid w:val="00B70818"/>
    <w:rsid w:val="00B70AA3"/>
    <w:rsid w:val="00B71375"/>
    <w:rsid w:val="00B7144D"/>
    <w:rsid w:val="00B7283A"/>
    <w:rsid w:val="00B72ACE"/>
    <w:rsid w:val="00B7427C"/>
    <w:rsid w:val="00B74E13"/>
    <w:rsid w:val="00B75DBA"/>
    <w:rsid w:val="00B75EF5"/>
    <w:rsid w:val="00B75F3C"/>
    <w:rsid w:val="00B77136"/>
    <w:rsid w:val="00B80506"/>
    <w:rsid w:val="00B80872"/>
    <w:rsid w:val="00B80B03"/>
    <w:rsid w:val="00B81133"/>
    <w:rsid w:val="00B81387"/>
    <w:rsid w:val="00B81517"/>
    <w:rsid w:val="00B819E4"/>
    <w:rsid w:val="00B81D8A"/>
    <w:rsid w:val="00B824CB"/>
    <w:rsid w:val="00B8267B"/>
    <w:rsid w:val="00B83142"/>
    <w:rsid w:val="00B835C6"/>
    <w:rsid w:val="00B83960"/>
    <w:rsid w:val="00B83DF6"/>
    <w:rsid w:val="00B847D8"/>
    <w:rsid w:val="00B85226"/>
    <w:rsid w:val="00B8548C"/>
    <w:rsid w:val="00B85545"/>
    <w:rsid w:val="00B86B99"/>
    <w:rsid w:val="00B91D02"/>
    <w:rsid w:val="00B91D31"/>
    <w:rsid w:val="00B92D15"/>
    <w:rsid w:val="00B93272"/>
    <w:rsid w:val="00B936FE"/>
    <w:rsid w:val="00B95D87"/>
    <w:rsid w:val="00B95FB9"/>
    <w:rsid w:val="00B967C7"/>
    <w:rsid w:val="00B96F33"/>
    <w:rsid w:val="00B97B58"/>
    <w:rsid w:val="00BA1984"/>
    <w:rsid w:val="00BA3ACF"/>
    <w:rsid w:val="00BA3BC0"/>
    <w:rsid w:val="00BA3EAA"/>
    <w:rsid w:val="00BA48E3"/>
    <w:rsid w:val="00BA58B7"/>
    <w:rsid w:val="00BA6042"/>
    <w:rsid w:val="00BA6DE1"/>
    <w:rsid w:val="00BA707E"/>
    <w:rsid w:val="00BA7918"/>
    <w:rsid w:val="00BB02EA"/>
    <w:rsid w:val="00BB0A54"/>
    <w:rsid w:val="00BB0B81"/>
    <w:rsid w:val="00BB2284"/>
    <w:rsid w:val="00BB29FE"/>
    <w:rsid w:val="00BB3A52"/>
    <w:rsid w:val="00BB40D0"/>
    <w:rsid w:val="00BB40D9"/>
    <w:rsid w:val="00BB4676"/>
    <w:rsid w:val="00BB5D4D"/>
    <w:rsid w:val="00BB65A0"/>
    <w:rsid w:val="00BB6D90"/>
    <w:rsid w:val="00BB70EB"/>
    <w:rsid w:val="00BB7441"/>
    <w:rsid w:val="00BB754C"/>
    <w:rsid w:val="00BB79A7"/>
    <w:rsid w:val="00BC01B2"/>
    <w:rsid w:val="00BC01C6"/>
    <w:rsid w:val="00BC0AC7"/>
    <w:rsid w:val="00BC120B"/>
    <w:rsid w:val="00BC16F2"/>
    <w:rsid w:val="00BC1820"/>
    <w:rsid w:val="00BC2296"/>
    <w:rsid w:val="00BC23CD"/>
    <w:rsid w:val="00BC26B2"/>
    <w:rsid w:val="00BC27C0"/>
    <w:rsid w:val="00BC4312"/>
    <w:rsid w:val="00BC4580"/>
    <w:rsid w:val="00BC46D3"/>
    <w:rsid w:val="00BC5A39"/>
    <w:rsid w:val="00BC6627"/>
    <w:rsid w:val="00BC6E3B"/>
    <w:rsid w:val="00BC77E8"/>
    <w:rsid w:val="00BD2038"/>
    <w:rsid w:val="00BD2128"/>
    <w:rsid w:val="00BD2345"/>
    <w:rsid w:val="00BD3CAF"/>
    <w:rsid w:val="00BD4EF0"/>
    <w:rsid w:val="00BD5D5E"/>
    <w:rsid w:val="00BD5EA7"/>
    <w:rsid w:val="00BD5EF6"/>
    <w:rsid w:val="00BD647D"/>
    <w:rsid w:val="00BD6526"/>
    <w:rsid w:val="00BD696E"/>
    <w:rsid w:val="00BD70FE"/>
    <w:rsid w:val="00BD7B41"/>
    <w:rsid w:val="00BE0D15"/>
    <w:rsid w:val="00BE0E3A"/>
    <w:rsid w:val="00BE11D7"/>
    <w:rsid w:val="00BE2DB6"/>
    <w:rsid w:val="00BE333A"/>
    <w:rsid w:val="00BE3C42"/>
    <w:rsid w:val="00BE3D63"/>
    <w:rsid w:val="00BE466F"/>
    <w:rsid w:val="00BE4672"/>
    <w:rsid w:val="00BE4EE2"/>
    <w:rsid w:val="00BE57AD"/>
    <w:rsid w:val="00BE6C3A"/>
    <w:rsid w:val="00BE7D64"/>
    <w:rsid w:val="00BF0F91"/>
    <w:rsid w:val="00BF1E95"/>
    <w:rsid w:val="00BF39EA"/>
    <w:rsid w:val="00BF3CA2"/>
    <w:rsid w:val="00BF40A4"/>
    <w:rsid w:val="00BF4A51"/>
    <w:rsid w:val="00BF4F6E"/>
    <w:rsid w:val="00BF6418"/>
    <w:rsid w:val="00BF67DC"/>
    <w:rsid w:val="00BF6981"/>
    <w:rsid w:val="00BF7B69"/>
    <w:rsid w:val="00C0194E"/>
    <w:rsid w:val="00C01B55"/>
    <w:rsid w:val="00C01F62"/>
    <w:rsid w:val="00C0208C"/>
    <w:rsid w:val="00C03891"/>
    <w:rsid w:val="00C038E6"/>
    <w:rsid w:val="00C040E8"/>
    <w:rsid w:val="00C04271"/>
    <w:rsid w:val="00C0439E"/>
    <w:rsid w:val="00C0447C"/>
    <w:rsid w:val="00C047AD"/>
    <w:rsid w:val="00C04C95"/>
    <w:rsid w:val="00C04F94"/>
    <w:rsid w:val="00C05F3C"/>
    <w:rsid w:val="00C061DC"/>
    <w:rsid w:val="00C0651A"/>
    <w:rsid w:val="00C0694C"/>
    <w:rsid w:val="00C06EB9"/>
    <w:rsid w:val="00C073B4"/>
    <w:rsid w:val="00C10AC3"/>
    <w:rsid w:val="00C10E6C"/>
    <w:rsid w:val="00C10E91"/>
    <w:rsid w:val="00C12453"/>
    <w:rsid w:val="00C15C6D"/>
    <w:rsid w:val="00C15C77"/>
    <w:rsid w:val="00C1612C"/>
    <w:rsid w:val="00C16418"/>
    <w:rsid w:val="00C16984"/>
    <w:rsid w:val="00C16C97"/>
    <w:rsid w:val="00C1789A"/>
    <w:rsid w:val="00C17E7A"/>
    <w:rsid w:val="00C17EDC"/>
    <w:rsid w:val="00C20820"/>
    <w:rsid w:val="00C21772"/>
    <w:rsid w:val="00C21A31"/>
    <w:rsid w:val="00C21B22"/>
    <w:rsid w:val="00C2479F"/>
    <w:rsid w:val="00C24DA9"/>
    <w:rsid w:val="00C24F79"/>
    <w:rsid w:val="00C2538D"/>
    <w:rsid w:val="00C25A70"/>
    <w:rsid w:val="00C261B2"/>
    <w:rsid w:val="00C267F7"/>
    <w:rsid w:val="00C27638"/>
    <w:rsid w:val="00C277F9"/>
    <w:rsid w:val="00C27B66"/>
    <w:rsid w:val="00C3060C"/>
    <w:rsid w:val="00C3077A"/>
    <w:rsid w:val="00C308C8"/>
    <w:rsid w:val="00C30937"/>
    <w:rsid w:val="00C315F6"/>
    <w:rsid w:val="00C317D9"/>
    <w:rsid w:val="00C31E4B"/>
    <w:rsid w:val="00C3285A"/>
    <w:rsid w:val="00C330F5"/>
    <w:rsid w:val="00C3315C"/>
    <w:rsid w:val="00C3365C"/>
    <w:rsid w:val="00C338DD"/>
    <w:rsid w:val="00C34435"/>
    <w:rsid w:val="00C34D30"/>
    <w:rsid w:val="00C364F2"/>
    <w:rsid w:val="00C36CB9"/>
    <w:rsid w:val="00C37219"/>
    <w:rsid w:val="00C3767A"/>
    <w:rsid w:val="00C37697"/>
    <w:rsid w:val="00C379FB"/>
    <w:rsid w:val="00C37E9E"/>
    <w:rsid w:val="00C37F05"/>
    <w:rsid w:val="00C403B5"/>
    <w:rsid w:val="00C40A94"/>
    <w:rsid w:val="00C41029"/>
    <w:rsid w:val="00C41377"/>
    <w:rsid w:val="00C4277D"/>
    <w:rsid w:val="00C4290C"/>
    <w:rsid w:val="00C448CE"/>
    <w:rsid w:val="00C44ED6"/>
    <w:rsid w:val="00C458FB"/>
    <w:rsid w:val="00C45CCF"/>
    <w:rsid w:val="00C4712C"/>
    <w:rsid w:val="00C47C40"/>
    <w:rsid w:val="00C50A9E"/>
    <w:rsid w:val="00C52630"/>
    <w:rsid w:val="00C5395B"/>
    <w:rsid w:val="00C54360"/>
    <w:rsid w:val="00C54C07"/>
    <w:rsid w:val="00C55373"/>
    <w:rsid w:val="00C56806"/>
    <w:rsid w:val="00C56E15"/>
    <w:rsid w:val="00C57C02"/>
    <w:rsid w:val="00C57F66"/>
    <w:rsid w:val="00C60C6B"/>
    <w:rsid w:val="00C623C2"/>
    <w:rsid w:val="00C6280E"/>
    <w:rsid w:val="00C62C20"/>
    <w:rsid w:val="00C639EC"/>
    <w:rsid w:val="00C63AA0"/>
    <w:rsid w:val="00C64454"/>
    <w:rsid w:val="00C64EA7"/>
    <w:rsid w:val="00C655B9"/>
    <w:rsid w:val="00C66196"/>
    <w:rsid w:val="00C661B0"/>
    <w:rsid w:val="00C67C01"/>
    <w:rsid w:val="00C67D26"/>
    <w:rsid w:val="00C709DE"/>
    <w:rsid w:val="00C70D82"/>
    <w:rsid w:val="00C710C5"/>
    <w:rsid w:val="00C71596"/>
    <w:rsid w:val="00C71A2D"/>
    <w:rsid w:val="00C72910"/>
    <w:rsid w:val="00C7322E"/>
    <w:rsid w:val="00C73773"/>
    <w:rsid w:val="00C74905"/>
    <w:rsid w:val="00C74FC2"/>
    <w:rsid w:val="00C755E7"/>
    <w:rsid w:val="00C76C55"/>
    <w:rsid w:val="00C76DCF"/>
    <w:rsid w:val="00C77346"/>
    <w:rsid w:val="00C7734F"/>
    <w:rsid w:val="00C775BB"/>
    <w:rsid w:val="00C8030F"/>
    <w:rsid w:val="00C80F60"/>
    <w:rsid w:val="00C8108E"/>
    <w:rsid w:val="00C8137F"/>
    <w:rsid w:val="00C817D7"/>
    <w:rsid w:val="00C81DE0"/>
    <w:rsid w:val="00C82DD3"/>
    <w:rsid w:val="00C83153"/>
    <w:rsid w:val="00C83245"/>
    <w:rsid w:val="00C83DB2"/>
    <w:rsid w:val="00C855FF"/>
    <w:rsid w:val="00C85931"/>
    <w:rsid w:val="00C87118"/>
    <w:rsid w:val="00C87AFE"/>
    <w:rsid w:val="00C87CA5"/>
    <w:rsid w:val="00C900C9"/>
    <w:rsid w:val="00C9014C"/>
    <w:rsid w:val="00C9067F"/>
    <w:rsid w:val="00C90D49"/>
    <w:rsid w:val="00C914D3"/>
    <w:rsid w:val="00C916B8"/>
    <w:rsid w:val="00C91A1C"/>
    <w:rsid w:val="00C91D11"/>
    <w:rsid w:val="00C91E49"/>
    <w:rsid w:val="00C92B7B"/>
    <w:rsid w:val="00C93256"/>
    <w:rsid w:val="00C937FD"/>
    <w:rsid w:val="00C94299"/>
    <w:rsid w:val="00C95ED9"/>
    <w:rsid w:val="00C96A70"/>
    <w:rsid w:val="00C96DC4"/>
    <w:rsid w:val="00C9779A"/>
    <w:rsid w:val="00CA05AE"/>
    <w:rsid w:val="00CA0B2A"/>
    <w:rsid w:val="00CA161B"/>
    <w:rsid w:val="00CA1AD8"/>
    <w:rsid w:val="00CA2DA9"/>
    <w:rsid w:val="00CA2F07"/>
    <w:rsid w:val="00CA4F8D"/>
    <w:rsid w:val="00CA58B7"/>
    <w:rsid w:val="00CA62F7"/>
    <w:rsid w:val="00CA6AC2"/>
    <w:rsid w:val="00CA6F3F"/>
    <w:rsid w:val="00CA7543"/>
    <w:rsid w:val="00CA76FA"/>
    <w:rsid w:val="00CA77A6"/>
    <w:rsid w:val="00CA7ED6"/>
    <w:rsid w:val="00CA7EDA"/>
    <w:rsid w:val="00CB0B2B"/>
    <w:rsid w:val="00CB0F37"/>
    <w:rsid w:val="00CB2CC5"/>
    <w:rsid w:val="00CB2EEE"/>
    <w:rsid w:val="00CB38DA"/>
    <w:rsid w:val="00CB3B3B"/>
    <w:rsid w:val="00CB3D13"/>
    <w:rsid w:val="00CB3FFD"/>
    <w:rsid w:val="00CB4BE0"/>
    <w:rsid w:val="00CB4DC6"/>
    <w:rsid w:val="00CB6266"/>
    <w:rsid w:val="00CB67E8"/>
    <w:rsid w:val="00CB7F7B"/>
    <w:rsid w:val="00CC05A3"/>
    <w:rsid w:val="00CC11A0"/>
    <w:rsid w:val="00CC186C"/>
    <w:rsid w:val="00CC198F"/>
    <w:rsid w:val="00CC1A15"/>
    <w:rsid w:val="00CC2005"/>
    <w:rsid w:val="00CC2E5E"/>
    <w:rsid w:val="00CC329A"/>
    <w:rsid w:val="00CC4284"/>
    <w:rsid w:val="00CC48F2"/>
    <w:rsid w:val="00CC4CE1"/>
    <w:rsid w:val="00CC53DD"/>
    <w:rsid w:val="00CC55C1"/>
    <w:rsid w:val="00CC5C58"/>
    <w:rsid w:val="00CC6903"/>
    <w:rsid w:val="00CC694E"/>
    <w:rsid w:val="00CC6B8F"/>
    <w:rsid w:val="00CC713A"/>
    <w:rsid w:val="00CC728D"/>
    <w:rsid w:val="00CC73D4"/>
    <w:rsid w:val="00CC77C8"/>
    <w:rsid w:val="00CD05A9"/>
    <w:rsid w:val="00CD0BE5"/>
    <w:rsid w:val="00CD0C16"/>
    <w:rsid w:val="00CD1F66"/>
    <w:rsid w:val="00CD21CE"/>
    <w:rsid w:val="00CD2AAE"/>
    <w:rsid w:val="00CD2D38"/>
    <w:rsid w:val="00CD3FE5"/>
    <w:rsid w:val="00CD4C00"/>
    <w:rsid w:val="00CD4F52"/>
    <w:rsid w:val="00CD5068"/>
    <w:rsid w:val="00CD6618"/>
    <w:rsid w:val="00CD672B"/>
    <w:rsid w:val="00CD6845"/>
    <w:rsid w:val="00CD6C46"/>
    <w:rsid w:val="00CD6F47"/>
    <w:rsid w:val="00CD75EB"/>
    <w:rsid w:val="00CD7AA0"/>
    <w:rsid w:val="00CE018E"/>
    <w:rsid w:val="00CE0BB3"/>
    <w:rsid w:val="00CE31B2"/>
    <w:rsid w:val="00CE378C"/>
    <w:rsid w:val="00CE3DAD"/>
    <w:rsid w:val="00CE3E00"/>
    <w:rsid w:val="00CE43AC"/>
    <w:rsid w:val="00CE459C"/>
    <w:rsid w:val="00CE4606"/>
    <w:rsid w:val="00CE536C"/>
    <w:rsid w:val="00CE543B"/>
    <w:rsid w:val="00CE588D"/>
    <w:rsid w:val="00CE59F2"/>
    <w:rsid w:val="00CE6BB7"/>
    <w:rsid w:val="00CE7DE6"/>
    <w:rsid w:val="00CF0EF3"/>
    <w:rsid w:val="00CF1A49"/>
    <w:rsid w:val="00CF2A9C"/>
    <w:rsid w:val="00CF31C9"/>
    <w:rsid w:val="00CF4C8A"/>
    <w:rsid w:val="00CF5001"/>
    <w:rsid w:val="00CF5A01"/>
    <w:rsid w:val="00CF5D9A"/>
    <w:rsid w:val="00CF7361"/>
    <w:rsid w:val="00CF742C"/>
    <w:rsid w:val="00CF783E"/>
    <w:rsid w:val="00D0135C"/>
    <w:rsid w:val="00D01CD9"/>
    <w:rsid w:val="00D027E0"/>
    <w:rsid w:val="00D02A4A"/>
    <w:rsid w:val="00D02BDE"/>
    <w:rsid w:val="00D03D5A"/>
    <w:rsid w:val="00D0440F"/>
    <w:rsid w:val="00D05143"/>
    <w:rsid w:val="00D05811"/>
    <w:rsid w:val="00D05A9A"/>
    <w:rsid w:val="00D05AB5"/>
    <w:rsid w:val="00D067B1"/>
    <w:rsid w:val="00D07785"/>
    <w:rsid w:val="00D07ABB"/>
    <w:rsid w:val="00D07AF8"/>
    <w:rsid w:val="00D07EDD"/>
    <w:rsid w:val="00D101FE"/>
    <w:rsid w:val="00D10F7D"/>
    <w:rsid w:val="00D126B2"/>
    <w:rsid w:val="00D12C07"/>
    <w:rsid w:val="00D147BD"/>
    <w:rsid w:val="00D1515B"/>
    <w:rsid w:val="00D15352"/>
    <w:rsid w:val="00D15649"/>
    <w:rsid w:val="00D15650"/>
    <w:rsid w:val="00D15AEC"/>
    <w:rsid w:val="00D16095"/>
    <w:rsid w:val="00D174E2"/>
    <w:rsid w:val="00D178AE"/>
    <w:rsid w:val="00D200E2"/>
    <w:rsid w:val="00D20244"/>
    <w:rsid w:val="00D23026"/>
    <w:rsid w:val="00D23D69"/>
    <w:rsid w:val="00D256C9"/>
    <w:rsid w:val="00D25C93"/>
    <w:rsid w:val="00D26312"/>
    <w:rsid w:val="00D26947"/>
    <w:rsid w:val="00D269E1"/>
    <w:rsid w:val="00D26A6C"/>
    <w:rsid w:val="00D26D71"/>
    <w:rsid w:val="00D27313"/>
    <w:rsid w:val="00D27987"/>
    <w:rsid w:val="00D302AF"/>
    <w:rsid w:val="00D308EE"/>
    <w:rsid w:val="00D31667"/>
    <w:rsid w:val="00D3193F"/>
    <w:rsid w:val="00D3210D"/>
    <w:rsid w:val="00D32484"/>
    <w:rsid w:val="00D325AC"/>
    <w:rsid w:val="00D32653"/>
    <w:rsid w:val="00D3266B"/>
    <w:rsid w:val="00D34BC0"/>
    <w:rsid w:val="00D356C3"/>
    <w:rsid w:val="00D36231"/>
    <w:rsid w:val="00D37219"/>
    <w:rsid w:val="00D4020F"/>
    <w:rsid w:val="00D414B1"/>
    <w:rsid w:val="00D4179D"/>
    <w:rsid w:val="00D41F9C"/>
    <w:rsid w:val="00D423CE"/>
    <w:rsid w:val="00D42C08"/>
    <w:rsid w:val="00D42F69"/>
    <w:rsid w:val="00D4388E"/>
    <w:rsid w:val="00D43B59"/>
    <w:rsid w:val="00D4410E"/>
    <w:rsid w:val="00D44203"/>
    <w:rsid w:val="00D44337"/>
    <w:rsid w:val="00D44A4A"/>
    <w:rsid w:val="00D45C99"/>
    <w:rsid w:val="00D45FF8"/>
    <w:rsid w:val="00D479FF"/>
    <w:rsid w:val="00D5002E"/>
    <w:rsid w:val="00D51445"/>
    <w:rsid w:val="00D5162D"/>
    <w:rsid w:val="00D51A60"/>
    <w:rsid w:val="00D5281F"/>
    <w:rsid w:val="00D5353F"/>
    <w:rsid w:val="00D53BD5"/>
    <w:rsid w:val="00D54939"/>
    <w:rsid w:val="00D54D46"/>
    <w:rsid w:val="00D54F5B"/>
    <w:rsid w:val="00D55B2A"/>
    <w:rsid w:val="00D570FA"/>
    <w:rsid w:val="00D5735F"/>
    <w:rsid w:val="00D573B4"/>
    <w:rsid w:val="00D57A5E"/>
    <w:rsid w:val="00D604EA"/>
    <w:rsid w:val="00D60BB5"/>
    <w:rsid w:val="00D60BC9"/>
    <w:rsid w:val="00D61622"/>
    <w:rsid w:val="00D6229D"/>
    <w:rsid w:val="00D62A25"/>
    <w:rsid w:val="00D62D5B"/>
    <w:rsid w:val="00D63235"/>
    <w:rsid w:val="00D63650"/>
    <w:rsid w:val="00D63D98"/>
    <w:rsid w:val="00D64339"/>
    <w:rsid w:val="00D64732"/>
    <w:rsid w:val="00D64E40"/>
    <w:rsid w:val="00D6585C"/>
    <w:rsid w:val="00D65B0A"/>
    <w:rsid w:val="00D66297"/>
    <w:rsid w:val="00D6699F"/>
    <w:rsid w:val="00D66FC4"/>
    <w:rsid w:val="00D6733A"/>
    <w:rsid w:val="00D678B5"/>
    <w:rsid w:val="00D67FA8"/>
    <w:rsid w:val="00D70631"/>
    <w:rsid w:val="00D70C64"/>
    <w:rsid w:val="00D71745"/>
    <w:rsid w:val="00D71E45"/>
    <w:rsid w:val="00D72601"/>
    <w:rsid w:val="00D732AD"/>
    <w:rsid w:val="00D74EE5"/>
    <w:rsid w:val="00D751A5"/>
    <w:rsid w:val="00D75E16"/>
    <w:rsid w:val="00D76045"/>
    <w:rsid w:val="00D76EEE"/>
    <w:rsid w:val="00D807F9"/>
    <w:rsid w:val="00D80AC4"/>
    <w:rsid w:val="00D80B5D"/>
    <w:rsid w:val="00D81474"/>
    <w:rsid w:val="00D81C09"/>
    <w:rsid w:val="00D81E8E"/>
    <w:rsid w:val="00D82177"/>
    <w:rsid w:val="00D83CE8"/>
    <w:rsid w:val="00D842C0"/>
    <w:rsid w:val="00D84C5A"/>
    <w:rsid w:val="00D84EB8"/>
    <w:rsid w:val="00D84FDD"/>
    <w:rsid w:val="00D85063"/>
    <w:rsid w:val="00D851E2"/>
    <w:rsid w:val="00D86752"/>
    <w:rsid w:val="00D868B8"/>
    <w:rsid w:val="00D86F90"/>
    <w:rsid w:val="00D873BA"/>
    <w:rsid w:val="00D87985"/>
    <w:rsid w:val="00D87AA9"/>
    <w:rsid w:val="00D900F7"/>
    <w:rsid w:val="00D90550"/>
    <w:rsid w:val="00D90A73"/>
    <w:rsid w:val="00D90A77"/>
    <w:rsid w:val="00D91577"/>
    <w:rsid w:val="00D91826"/>
    <w:rsid w:val="00D91A53"/>
    <w:rsid w:val="00D91A8A"/>
    <w:rsid w:val="00D91C70"/>
    <w:rsid w:val="00D9220F"/>
    <w:rsid w:val="00D929DD"/>
    <w:rsid w:val="00D92DB3"/>
    <w:rsid w:val="00D92F60"/>
    <w:rsid w:val="00D932BA"/>
    <w:rsid w:val="00D93913"/>
    <w:rsid w:val="00D9408D"/>
    <w:rsid w:val="00D94231"/>
    <w:rsid w:val="00D94BD4"/>
    <w:rsid w:val="00D957E7"/>
    <w:rsid w:val="00D9587B"/>
    <w:rsid w:val="00D95DC4"/>
    <w:rsid w:val="00D964E0"/>
    <w:rsid w:val="00D96705"/>
    <w:rsid w:val="00D971A5"/>
    <w:rsid w:val="00D9790F"/>
    <w:rsid w:val="00DA0137"/>
    <w:rsid w:val="00DA0313"/>
    <w:rsid w:val="00DA081D"/>
    <w:rsid w:val="00DA1645"/>
    <w:rsid w:val="00DA182F"/>
    <w:rsid w:val="00DA18BD"/>
    <w:rsid w:val="00DA2449"/>
    <w:rsid w:val="00DA2E50"/>
    <w:rsid w:val="00DA3478"/>
    <w:rsid w:val="00DA49FE"/>
    <w:rsid w:val="00DA4BE4"/>
    <w:rsid w:val="00DA560F"/>
    <w:rsid w:val="00DA5E62"/>
    <w:rsid w:val="00DA6318"/>
    <w:rsid w:val="00DB07BD"/>
    <w:rsid w:val="00DB0CDB"/>
    <w:rsid w:val="00DB1AAA"/>
    <w:rsid w:val="00DB236C"/>
    <w:rsid w:val="00DB248F"/>
    <w:rsid w:val="00DB2FDC"/>
    <w:rsid w:val="00DB3835"/>
    <w:rsid w:val="00DB5B14"/>
    <w:rsid w:val="00DB5C53"/>
    <w:rsid w:val="00DB5CAC"/>
    <w:rsid w:val="00DB5DCC"/>
    <w:rsid w:val="00DB5E13"/>
    <w:rsid w:val="00DB613C"/>
    <w:rsid w:val="00DB6EDC"/>
    <w:rsid w:val="00DB753E"/>
    <w:rsid w:val="00DC015A"/>
    <w:rsid w:val="00DC079D"/>
    <w:rsid w:val="00DC160F"/>
    <w:rsid w:val="00DC1855"/>
    <w:rsid w:val="00DC3409"/>
    <w:rsid w:val="00DC3C50"/>
    <w:rsid w:val="00DC487C"/>
    <w:rsid w:val="00DC4E06"/>
    <w:rsid w:val="00DC4E1B"/>
    <w:rsid w:val="00DC5B34"/>
    <w:rsid w:val="00DC68D5"/>
    <w:rsid w:val="00DC71C6"/>
    <w:rsid w:val="00DC77D6"/>
    <w:rsid w:val="00DC7886"/>
    <w:rsid w:val="00DD1A01"/>
    <w:rsid w:val="00DD1FC3"/>
    <w:rsid w:val="00DD525C"/>
    <w:rsid w:val="00DD563C"/>
    <w:rsid w:val="00DD600B"/>
    <w:rsid w:val="00DD60E3"/>
    <w:rsid w:val="00DD718C"/>
    <w:rsid w:val="00DD75F7"/>
    <w:rsid w:val="00DD7C87"/>
    <w:rsid w:val="00DE177C"/>
    <w:rsid w:val="00DE18CF"/>
    <w:rsid w:val="00DE2592"/>
    <w:rsid w:val="00DE2DDB"/>
    <w:rsid w:val="00DE321F"/>
    <w:rsid w:val="00DE577A"/>
    <w:rsid w:val="00DE68C3"/>
    <w:rsid w:val="00DE6CD1"/>
    <w:rsid w:val="00DE7B6C"/>
    <w:rsid w:val="00DF0D7D"/>
    <w:rsid w:val="00DF148F"/>
    <w:rsid w:val="00DF167C"/>
    <w:rsid w:val="00DF25C9"/>
    <w:rsid w:val="00DF3C2E"/>
    <w:rsid w:val="00DF4369"/>
    <w:rsid w:val="00DF5F16"/>
    <w:rsid w:val="00DF6D72"/>
    <w:rsid w:val="00DF72CC"/>
    <w:rsid w:val="00E000BB"/>
    <w:rsid w:val="00E00906"/>
    <w:rsid w:val="00E00AB7"/>
    <w:rsid w:val="00E01489"/>
    <w:rsid w:val="00E018A4"/>
    <w:rsid w:val="00E01BC9"/>
    <w:rsid w:val="00E020D2"/>
    <w:rsid w:val="00E030D9"/>
    <w:rsid w:val="00E030EA"/>
    <w:rsid w:val="00E04667"/>
    <w:rsid w:val="00E05742"/>
    <w:rsid w:val="00E05C59"/>
    <w:rsid w:val="00E06155"/>
    <w:rsid w:val="00E06996"/>
    <w:rsid w:val="00E10703"/>
    <w:rsid w:val="00E10F0B"/>
    <w:rsid w:val="00E115BE"/>
    <w:rsid w:val="00E11FF0"/>
    <w:rsid w:val="00E122ED"/>
    <w:rsid w:val="00E132B8"/>
    <w:rsid w:val="00E13A15"/>
    <w:rsid w:val="00E14D1E"/>
    <w:rsid w:val="00E14D48"/>
    <w:rsid w:val="00E153AF"/>
    <w:rsid w:val="00E162F8"/>
    <w:rsid w:val="00E16FC7"/>
    <w:rsid w:val="00E1747E"/>
    <w:rsid w:val="00E1768F"/>
    <w:rsid w:val="00E2006B"/>
    <w:rsid w:val="00E20BF5"/>
    <w:rsid w:val="00E2122E"/>
    <w:rsid w:val="00E214A0"/>
    <w:rsid w:val="00E21CE0"/>
    <w:rsid w:val="00E223E8"/>
    <w:rsid w:val="00E2286A"/>
    <w:rsid w:val="00E24A7F"/>
    <w:rsid w:val="00E266D0"/>
    <w:rsid w:val="00E26ACE"/>
    <w:rsid w:val="00E26D68"/>
    <w:rsid w:val="00E26D91"/>
    <w:rsid w:val="00E27448"/>
    <w:rsid w:val="00E2753C"/>
    <w:rsid w:val="00E27640"/>
    <w:rsid w:val="00E27CEB"/>
    <w:rsid w:val="00E27D47"/>
    <w:rsid w:val="00E30DCB"/>
    <w:rsid w:val="00E30FB1"/>
    <w:rsid w:val="00E3156F"/>
    <w:rsid w:val="00E31FA6"/>
    <w:rsid w:val="00E32959"/>
    <w:rsid w:val="00E32F1D"/>
    <w:rsid w:val="00E32FC2"/>
    <w:rsid w:val="00E33756"/>
    <w:rsid w:val="00E33BC0"/>
    <w:rsid w:val="00E342CF"/>
    <w:rsid w:val="00E35B8B"/>
    <w:rsid w:val="00E361CA"/>
    <w:rsid w:val="00E36332"/>
    <w:rsid w:val="00E3731E"/>
    <w:rsid w:val="00E37ADF"/>
    <w:rsid w:val="00E37F77"/>
    <w:rsid w:val="00E405AD"/>
    <w:rsid w:val="00E410DE"/>
    <w:rsid w:val="00E4125C"/>
    <w:rsid w:val="00E4228F"/>
    <w:rsid w:val="00E426CE"/>
    <w:rsid w:val="00E42A41"/>
    <w:rsid w:val="00E42EEB"/>
    <w:rsid w:val="00E42F86"/>
    <w:rsid w:val="00E43975"/>
    <w:rsid w:val="00E43A29"/>
    <w:rsid w:val="00E43E1C"/>
    <w:rsid w:val="00E442E7"/>
    <w:rsid w:val="00E44D6E"/>
    <w:rsid w:val="00E44D8B"/>
    <w:rsid w:val="00E44FF1"/>
    <w:rsid w:val="00E45962"/>
    <w:rsid w:val="00E46479"/>
    <w:rsid w:val="00E46575"/>
    <w:rsid w:val="00E468C3"/>
    <w:rsid w:val="00E475E2"/>
    <w:rsid w:val="00E47615"/>
    <w:rsid w:val="00E50A6A"/>
    <w:rsid w:val="00E513F1"/>
    <w:rsid w:val="00E515C1"/>
    <w:rsid w:val="00E51A52"/>
    <w:rsid w:val="00E531D1"/>
    <w:rsid w:val="00E53FC5"/>
    <w:rsid w:val="00E54802"/>
    <w:rsid w:val="00E54911"/>
    <w:rsid w:val="00E56A20"/>
    <w:rsid w:val="00E57122"/>
    <w:rsid w:val="00E57A7F"/>
    <w:rsid w:val="00E60066"/>
    <w:rsid w:val="00E602A9"/>
    <w:rsid w:val="00E61490"/>
    <w:rsid w:val="00E6168D"/>
    <w:rsid w:val="00E6174C"/>
    <w:rsid w:val="00E6217A"/>
    <w:rsid w:val="00E6264E"/>
    <w:rsid w:val="00E62C60"/>
    <w:rsid w:val="00E636EE"/>
    <w:rsid w:val="00E63B85"/>
    <w:rsid w:val="00E648BB"/>
    <w:rsid w:val="00E652EF"/>
    <w:rsid w:val="00E6539F"/>
    <w:rsid w:val="00E65951"/>
    <w:rsid w:val="00E667EF"/>
    <w:rsid w:val="00E66FA2"/>
    <w:rsid w:val="00E71F5A"/>
    <w:rsid w:val="00E72307"/>
    <w:rsid w:val="00E725DB"/>
    <w:rsid w:val="00E72602"/>
    <w:rsid w:val="00E72FC4"/>
    <w:rsid w:val="00E733E7"/>
    <w:rsid w:val="00E755AC"/>
    <w:rsid w:val="00E75877"/>
    <w:rsid w:val="00E75AEC"/>
    <w:rsid w:val="00E75D66"/>
    <w:rsid w:val="00E7760F"/>
    <w:rsid w:val="00E8023D"/>
    <w:rsid w:val="00E8040F"/>
    <w:rsid w:val="00E8174E"/>
    <w:rsid w:val="00E82B57"/>
    <w:rsid w:val="00E83308"/>
    <w:rsid w:val="00E836B4"/>
    <w:rsid w:val="00E843AC"/>
    <w:rsid w:val="00E84807"/>
    <w:rsid w:val="00E84E81"/>
    <w:rsid w:val="00E850AE"/>
    <w:rsid w:val="00E8562C"/>
    <w:rsid w:val="00E856A6"/>
    <w:rsid w:val="00E85B2A"/>
    <w:rsid w:val="00E85F52"/>
    <w:rsid w:val="00E86AC3"/>
    <w:rsid w:val="00E87385"/>
    <w:rsid w:val="00E87F0E"/>
    <w:rsid w:val="00E904EE"/>
    <w:rsid w:val="00E90FAD"/>
    <w:rsid w:val="00E912B1"/>
    <w:rsid w:val="00E915E7"/>
    <w:rsid w:val="00E9200A"/>
    <w:rsid w:val="00E92EF5"/>
    <w:rsid w:val="00E932E2"/>
    <w:rsid w:val="00E93368"/>
    <w:rsid w:val="00E9370A"/>
    <w:rsid w:val="00E93748"/>
    <w:rsid w:val="00E93B6F"/>
    <w:rsid w:val="00E95AE7"/>
    <w:rsid w:val="00E95ECA"/>
    <w:rsid w:val="00E95EDC"/>
    <w:rsid w:val="00E969CB"/>
    <w:rsid w:val="00E96E05"/>
    <w:rsid w:val="00E9769E"/>
    <w:rsid w:val="00EA2247"/>
    <w:rsid w:val="00EA23A5"/>
    <w:rsid w:val="00EA2442"/>
    <w:rsid w:val="00EA2E7F"/>
    <w:rsid w:val="00EA3561"/>
    <w:rsid w:val="00EA3CDD"/>
    <w:rsid w:val="00EA502E"/>
    <w:rsid w:val="00EA53DA"/>
    <w:rsid w:val="00EA5921"/>
    <w:rsid w:val="00EA6363"/>
    <w:rsid w:val="00EA6501"/>
    <w:rsid w:val="00EA680D"/>
    <w:rsid w:val="00EA72C3"/>
    <w:rsid w:val="00EB048C"/>
    <w:rsid w:val="00EB05F8"/>
    <w:rsid w:val="00EB1112"/>
    <w:rsid w:val="00EB1310"/>
    <w:rsid w:val="00EB150C"/>
    <w:rsid w:val="00EB18CA"/>
    <w:rsid w:val="00EB1D35"/>
    <w:rsid w:val="00EB1EDF"/>
    <w:rsid w:val="00EB275F"/>
    <w:rsid w:val="00EB283D"/>
    <w:rsid w:val="00EB356C"/>
    <w:rsid w:val="00EB5CC2"/>
    <w:rsid w:val="00EB5E3A"/>
    <w:rsid w:val="00EB6913"/>
    <w:rsid w:val="00EB6EDD"/>
    <w:rsid w:val="00EB71FB"/>
    <w:rsid w:val="00EB76DD"/>
    <w:rsid w:val="00EB780E"/>
    <w:rsid w:val="00EC02BB"/>
    <w:rsid w:val="00EC040B"/>
    <w:rsid w:val="00EC0999"/>
    <w:rsid w:val="00EC18FE"/>
    <w:rsid w:val="00EC1B5E"/>
    <w:rsid w:val="00EC1E87"/>
    <w:rsid w:val="00EC229F"/>
    <w:rsid w:val="00EC2562"/>
    <w:rsid w:val="00EC401B"/>
    <w:rsid w:val="00EC5526"/>
    <w:rsid w:val="00EC5662"/>
    <w:rsid w:val="00EC7395"/>
    <w:rsid w:val="00ED0A3F"/>
    <w:rsid w:val="00ED0ACC"/>
    <w:rsid w:val="00ED11B9"/>
    <w:rsid w:val="00ED1ADF"/>
    <w:rsid w:val="00ED284D"/>
    <w:rsid w:val="00ED4393"/>
    <w:rsid w:val="00ED4959"/>
    <w:rsid w:val="00ED6C1E"/>
    <w:rsid w:val="00ED7EC0"/>
    <w:rsid w:val="00EE158E"/>
    <w:rsid w:val="00EE1EEA"/>
    <w:rsid w:val="00EE3698"/>
    <w:rsid w:val="00EE3E66"/>
    <w:rsid w:val="00EE6D3D"/>
    <w:rsid w:val="00EE6D41"/>
    <w:rsid w:val="00EE6DD1"/>
    <w:rsid w:val="00EE6FCA"/>
    <w:rsid w:val="00EE7AD8"/>
    <w:rsid w:val="00EE7F3A"/>
    <w:rsid w:val="00EF0469"/>
    <w:rsid w:val="00EF0673"/>
    <w:rsid w:val="00EF076D"/>
    <w:rsid w:val="00EF13A6"/>
    <w:rsid w:val="00EF17DB"/>
    <w:rsid w:val="00EF26A3"/>
    <w:rsid w:val="00EF2787"/>
    <w:rsid w:val="00EF281F"/>
    <w:rsid w:val="00EF2EC6"/>
    <w:rsid w:val="00EF3173"/>
    <w:rsid w:val="00EF32FA"/>
    <w:rsid w:val="00EF4355"/>
    <w:rsid w:val="00EF4C4A"/>
    <w:rsid w:val="00EF5098"/>
    <w:rsid w:val="00EF53E7"/>
    <w:rsid w:val="00EF59BD"/>
    <w:rsid w:val="00F012B9"/>
    <w:rsid w:val="00F013CE"/>
    <w:rsid w:val="00F0183E"/>
    <w:rsid w:val="00F0441E"/>
    <w:rsid w:val="00F049BE"/>
    <w:rsid w:val="00F04CB8"/>
    <w:rsid w:val="00F05491"/>
    <w:rsid w:val="00F0661B"/>
    <w:rsid w:val="00F0686D"/>
    <w:rsid w:val="00F06D38"/>
    <w:rsid w:val="00F074A2"/>
    <w:rsid w:val="00F07BD8"/>
    <w:rsid w:val="00F07DB2"/>
    <w:rsid w:val="00F07EEF"/>
    <w:rsid w:val="00F10387"/>
    <w:rsid w:val="00F11033"/>
    <w:rsid w:val="00F11F24"/>
    <w:rsid w:val="00F1202A"/>
    <w:rsid w:val="00F1266E"/>
    <w:rsid w:val="00F12FC8"/>
    <w:rsid w:val="00F133F9"/>
    <w:rsid w:val="00F1402B"/>
    <w:rsid w:val="00F1408B"/>
    <w:rsid w:val="00F14263"/>
    <w:rsid w:val="00F1481A"/>
    <w:rsid w:val="00F15ACB"/>
    <w:rsid w:val="00F15C2B"/>
    <w:rsid w:val="00F15DC8"/>
    <w:rsid w:val="00F15F32"/>
    <w:rsid w:val="00F16724"/>
    <w:rsid w:val="00F16AF9"/>
    <w:rsid w:val="00F17D19"/>
    <w:rsid w:val="00F205EF"/>
    <w:rsid w:val="00F21387"/>
    <w:rsid w:val="00F2152C"/>
    <w:rsid w:val="00F21763"/>
    <w:rsid w:val="00F22DF7"/>
    <w:rsid w:val="00F2433B"/>
    <w:rsid w:val="00F243FF"/>
    <w:rsid w:val="00F24653"/>
    <w:rsid w:val="00F25032"/>
    <w:rsid w:val="00F25934"/>
    <w:rsid w:val="00F30CEB"/>
    <w:rsid w:val="00F30E1E"/>
    <w:rsid w:val="00F3113C"/>
    <w:rsid w:val="00F31916"/>
    <w:rsid w:val="00F319E5"/>
    <w:rsid w:val="00F31E94"/>
    <w:rsid w:val="00F3213E"/>
    <w:rsid w:val="00F321D1"/>
    <w:rsid w:val="00F3254A"/>
    <w:rsid w:val="00F328D6"/>
    <w:rsid w:val="00F328EC"/>
    <w:rsid w:val="00F32ADB"/>
    <w:rsid w:val="00F32DB4"/>
    <w:rsid w:val="00F33771"/>
    <w:rsid w:val="00F346BC"/>
    <w:rsid w:val="00F36ACF"/>
    <w:rsid w:val="00F37675"/>
    <w:rsid w:val="00F404A1"/>
    <w:rsid w:val="00F40838"/>
    <w:rsid w:val="00F40DBA"/>
    <w:rsid w:val="00F41801"/>
    <w:rsid w:val="00F41AFA"/>
    <w:rsid w:val="00F423E3"/>
    <w:rsid w:val="00F42C6D"/>
    <w:rsid w:val="00F42E2C"/>
    <w:rsid w:val="00F43061"/>
    <w:rsid w:val="00F434A8"/>
    <w:rsid w:val="00F436C8"/>
    <w:rsid w:val="00F44640"/>
    <w:rsid w:val="00F447E7"/>
    <w:rsid w:val="00F45CB6"/>
    <w:rsid w:val="00F45E18"/>
    <w:rsid w:val="00F46B14"/>
    <w:rsid w:val="00F479A6"/>
    <w:rsid w:val="00F47A21"/>
    <w:rsid w:val="00F47AA9"/>
    <w:rsid w:val="00F50FE8"/>
    <w:rsid w:val="00F51AE4"/>
    <w:rsid w:val="00F51BF1"/>
    <w:rsid w:val="00F51DC7"/>
    <w:rsid w:val="00F5265C"/>
    <w:rsid w:val="00F53242"/>
    <w:rsid w:val="00F54360"/>
    <w:rsid w:val="00F55C80"/>
    <w:rsid w:val="00F55F33"/>
    <w:rsid w:val="00F5655F"/>
    <w:rsid w:val="00F56635"/>
    <w:rsid w:val="00F56668"/>
    <w:rsid w:val="00F56848"/>
    <w:rsid w:val="00F56AE4"/>
    <w:rsid w:val="00F56C1A"/>
    <w:rsid w:val="00F571BE"/>
    <w:rsid w:val="00F57836"/>
    <w:rsid w:val="00F60BD1"/>
    <w:rsid w:val="00F61026"/>
    <w:rsid w:val="00F6162D"/>
    <w:rsid w:val="00F61864"/>
    <w:rsid w:val="00F61988"/>
    <w:rsid w:val="00F61A86"/>
    <w:rsid w:val="00F622C9"/>
    <w:rsid w:val="00F62664"/>
    <w:rsid w:val="00F63A47"/>
    <w:rsid w:val="00F63AA4"/>
    <w:rsid w:val="00F63B54"/>
    <w:rsid w:val="00F63C55"/>
    <w:rsid w:val="00F63F77"/>
    <w:rsid w:val="00F63FC9"/>
    <w:rsid w:val="00F6481A"/>
    <w:rsid w:val="00F64976"/>
    <w:rsid w:val="00F65C0F"/>
    <w:rsid w:val="00F65DAD"/>
    <w:rsid w:val="00F661F7"/>
    <w:rsid w:val="00F663DB"/>
    <w:rsid w:val="00F667EE"/>
    <w:rsid w:val="00F66E07"/>
    <w:rsid w:val="00F672C3"/>
    <w:rsid w:val="00F6791B"/>
    <w:rsid w:val="00F67D09"/>
    <w:rsid w:val="00F70FA0"/>
    <w:rsid w:val="00F72B69"/>
    <w:rsid w:val="00F75492"/>
    <w:rsid w:val="00F75762"/>
    <w:rsid w:val="00F757D8"/>
    <w:rsid w:val="00F76645"/>
    <w:rsid w:val="00F77F61"/>
    <w:rsid w:val="00F80256"/>
    <w:rsid w:val="00F81CFD"/>
    <w:rsid w:val="00F81DF2"/>
    <w:rsid w:val="00F820C6"/>
    <w:rsid w:val="00F82334"/>
    <w:rsid w:val="00F82A2F"/>
    <w:rsid w:val="00F82DED"/>
    <w:rsid w:val="00F845B0"/>
    <w:rsid w:val="00F8570D"/>
    <w:rsid w:val="00F85BAA"/>
    <w:rsid w:val="00F86709"/>
    <w:rsid w:val="00F8735B"/>
    <w:rsid w:val="00F87576"/>
    <w:rsid w:val="00F90824"/>
    <w:rsid w:val="00F90F31"/>
    <w:rsid w:val="00F91A3E"/>
    <w:rsid w:val="00F91B27"/>
    <w:rsid w:val="00F9222F"/>
    <w:rsid w:val="00F92989"/>
    <w:rsid w:val="00F929D1"/>
    <w:rsid w:val="00F9303E"/>
    <w:rsid w:val="00F940FE"/>
    <w:rsid w:val="00F95AE4"/>
    <w:rsid w:val="00F96C05"/>
    <w:rsid w:val="00FA0439"/>
    <w:rsid w:val="00FA092B"/>
    <w:rsid w:val="00FA13B1"/>
    <w:rsid w:val="00FA1578"/>
    <w:rsid w:val="00FA16C9"/>
    <w:rsid w:val="00FA1BFD"/>
    <w:rsid w:val="00FA2051"/>
    <w:rsid w:val="00FA2AAA"/>
    <w:rsid w:val="00FA2D75"/>
    <w:rsid w:val="00FA2E5F"/>
    <w:rsid w:val="00FA3103"/>
    <w:rsid w:val="00FA31C4"/>
    <w:rsid w:val="00FA56CE"/>
    <w:rsid w:val="00FA7650"/>
    <w:rsid w:val="00FA7BC8"/>
    <w:rsid w:val="00FB125F"/>
    <w:rsid w:val="00FB2856"/>
    <w:rsid w:val="00FB3272"/>
    <w:rsid w:val="00FB34DE"/>
    <w:rsid w:val="00FB380F"/>
    <w:rsid w:val="00FB3DFD"/>
    <w:rsid w:val="00FB5BDE"/>
    <w:rsid w:val="00FB65BB"/>
    <w:rsid w:val="00FB6A56"/>
    <w:rsid w:val="00FB6E02"/>
    <w:rsid w:val="00FC01EA"/>
    <w:rsid w:val="00FC042B"/>
    <w:rsid w:val="00FC0813"/>
    <w:rsid w:val="00FC0A6C"/>
    <w:rsid w:val="00FC0B93"/>
    <w:rsid w:val="00FC17FA"/>
    <w:rsid w:val="00FC2459"/>
    <w:rsid w:val="00FC24BE"/>
    <w:rsid w:val="00FC262D"/>
    <w:rsid w:val="00FC2D5D"/>
    <w:rsid w:val="00FC2E82"/>
    <w:rsid w:val="00FC3C2A"/>
    <w:rsid w:val="00FC3E5C"/>
    <w:rsid w:val="00FC4C69"/>
    <w:rsid w:val="00FC4F4C"/>
    <w:rsid w:val="00FC522F"/>
    <w:rsid w:val="00FC53AB"/>
    <w:rsid w:val="00FC54CD"/>
    <w:rsid w:val="00FC5526"/>
    <w:rsid w:val="00FC5630"/>
    <w:rsid w:val="00FC59D7"/>
    <w:rsid w:val="00FC622E"/>
    <w:rsid w:val="00FC7934"/>
    <w:rsid w:val="00FC7ABF"/>
    <w:rsid w:val="00FD0714"/>
    <w:rsid w:val="00FD10A2"/>
    <w:rsid w:val="00FD3DAE"/>
    <w:rsid w:val="00FD4724"/>
    <w:rsid w:val="00FD65E4"/>
    <w:rsid w:val="00FD6A86"/>
    <w:rsid w:val="00FD723C"/>
    <w:rsid w:val="00FD772D"/>
    <w:rsid w:val="00FD7E7D"/>
    <w:rsid w:val="00FE005C"/>
    <w:rsid w:val="00FE01D3"/>
    <w:rsid w:val="00FE046A"/>
    <w:rsid w:val="00FE2D06"/>
    <w:rsid w:val="00FE37BA"/>
    <w:rsid w:val="00FE3A50"/>
    <w:rsid w:val="00FE3DAF"/>
    <w:rsid w:val="00FE402D"/>
    <w:rsid w:val="00FE4674"/>
    <w:rsid w:val="00FE51C7"/>
    <w:rsid w:val="00FE5860"/>
    <w:rsid w:val="00FE5E1B"/>
    <w:rsid w:val="00FE5E38"/>
    <w:rsid w:val="00FE6302"/>
    <w:rsid w:val="00FE6461"/>
    <w:rsid w:val="00FE6AE8"/>
    <w:rsid w:val="00FE746C"/>
    <w:rsid w:val="00FE7A55"/>
    <w:rsid w:val="00FF060C"/>
    <w:rsid w:val="00FF09C2"/>
    <w:rsid w:val="00FF179A"/>
    <w:rsid w:val="00FF2329"/>
    <w:rsid w:val="00FF2DCD"/>
    <w:rsid w:val="00FF32C3"/>
    <w:rsid w:val="00FF38C7"/>
    <w:rsid w:val="00FF43D2"/>
    <w:rsid w:val="00FF4DD7"/>
    <w:rsid w:val="00FF5C5F"/>
    <w:rsid w:val="00FF7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28C5"/>
  <w15:docId w15:val="{B5614D50-E170-4205-98C8-276DBB31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FB"/>
    <w:rPr>
      <w:sz w:val="24"/>
      <w:szCs w:val="24"/>
    </w:rPr>
  </w:style>
  <w:style w:type="paragraph" w:styleId="Heading1">
    <w:name w:val="heading 1"/>
    <w:next w:val="Heading2"/>
    <w:link w:val="Heading1Char"/>
    <w:qFormat/>
    <w:rsid w:val="009E059A"/>
    <w:pPr>
      <w:keepNext/>
      <w:numPr>
        <w:numId w:val="5"/>
      </w:numPr>
      <w:spacing w:before="480" w:after="60"/>
      <w:outlineLvl w:val="0"/>
    </w:pPr>
    <w:rPr>
      <w:b/>
      <w:caps/>
      <w:sz w:val="24"/>
      <w:szCs w:val="24"/>
    </w:rPr>
  </w:style>
  <w:style w:type="paragraph" w:styleId="Heading2">
    <w:name w:val="heading 2"/>
    <w:link w:val="Heading2Char"/>
    <w:qFormat/>
    <w:rsid w:val="009E059A"/>
    <w:pPr>
      <w:numPr>
        <w:ilvl w:val="1"/>
        <w:numId w:val="5"/>
      </w:numPr>
      <w:spacing w:before="240" w:after="60"/>
      <w:outlineLvl w:val="1"/>
    </w:pPr>
    <w:rPr>
      <w:sz w:val="24"/>
      <w:szCs w:val="24"/>
    </w:rPr>
  </w:style>
  <w:style w:type="paragraph" w:styleId="Heading3">
    <w:name w:val="heading 3"/>
    <w:link w:val="Heading3Char"/>
    <w:qFormat/>
    <w:rsid w:val="009E059A"/>
    <w:pPr>
      <w:numPr>
        <w:ilvl w:val="2"/>
        <w:numId w:val="5"/>
      </w:numPr>
      <w:spacing w:before="240" w:after="60"/>
      <w:outlineLvl w:val="2"/>
    </w:pPr>
    <w:rPr>
      <w:sz w:val="24"/>
      <w:szCs w:val="24"/>
    </w:rPr>
  </w:style>
  <w:style w:type="paragraph" w:styleId="Heading4">
    <w:name w:val="heading 4"/>
    <w:link w:val="Heading4Char"/>
    <w:qFormat/>
    <w:rsid w:val="009E059A"/>
    <w:pPr>
      <w:numPr>
        <w:ilvl w:val="3"/>
        <w:numId w:val="5"/>
      </w:numPr>
      <w:spacing w:before="240" w:after="60"/>
      <w:outlineLvl w:val="3"/>
    </w:pPr>
    <w:rPr>
      <w:sz w:val="24"/>
      <w:szCs w:val="24"/>
    </w:rPr>
  </w:style>
  <w:style w:type="paragraph" w:styleId="Heading5">
    <w:name w:val="heading 5"/>
    <w:link w:val="Heading5Char"/>
    <w:rsid w:val="009E059A"/>
    <w:pPr>
      <w:numPr>
        <w:ilvl w:val="4"/>
        <w:numId w:val="5"/>
      </w:numPr>
      <w:spacing w:before="240" w:after="60"/>
      <w:outlineLvl w:val="4"/>
    </w:pPr>
    <w:rPr>
      <w:sz w:val="24"/>
      <w:szCs w:val="24"/>
    </w:rPr>
  </w:style>
  <w:style w:type="paragraph" w:styleId="Heading6">
    <w:name w:val="heading 6"/>
    <w:aliases w:val="Appendix No./Name"/>
    <w:next w:val="Normal"/>
    <w:link w:val="Heading6Char"/>
    <w:qFormat/>
    <w:rsid w:val="009E059A"/>
    <w:pPr>
      <w:numPr>
        <w:ilvl w:val="5"/>
        <w:numId w:val="5"/>
      </w:numPr>
      <w:spacing w:after="480"/>
      <w:ind w:left="270"/>
      <w:jc w:val="center"/>
      <w:outlineLvl w:val="5"/>
    </w:pPr>
    <w:rPr>
      <w:b/>
      <w:sz w:val="24"/>
      <w:szCs w:val="24"/>
    </w:rPr>
  </w:style>
  <w:style w:type="paragraph" w:styleId="Heading7">
    <w:name w:val="heading 7"/>
    <w:aliases w:val="Appendix Level 1"/>
    <w:next w:val="Heading8"/>
    <w:link w:val="Heading7Char"/>
    <w:qFormat/>
    <w:locked/>
    <w:rsid w:val="009E059A"/>
    <w:pPr>
      <w:numPr>
        <w:ilvl w:val="6"/>
        <w:numId w:val="5"/>
      </w:numPr>
      <w:spacing w:before="480" w:after="60"/>
      <w:outlineLvl w:val="6"/>
    </w:pPr>
    <w:rPr>
      <w:b/>
      <w:iCs/>
      <w:caps/>
      <w:sz w:val="24"/>
      <w:szCs w:val="24"/>
    </w:rPr>
  </w:style>
  <w:style w:type="paragraph" w:styleId="Heading8">
    <w:name w:val="heading 8"/>
    <w:aliases w:val="Appendix Level 2"/>
    <w:link w:val="Heading8Char"/>
    <w:qFormat/>
    <w:locked/>
    <w:rsid w:val="00773524"/>
    <w:pPr>
      <w:numPr>
        <w:ilvl w:val="7"/>
        <w:numId w:val="5"/>
      </w:numPr>
      <w:spacing w:before="240" w:after="60"/>
      <w:ind w:left="864"/>
      <w:outlineLvl w:val="7"/>
    </w:pPr>
    <w:rPr>
      <w:sz w:val="24"/>
    </w:rPr>
  </w:style>
  <w:style w:type="paragraph" w:styleId="Heading9">
    <w:name w:val="heading 9"/>
    <w:aliases w:val="Appendix Level 3"/>
    <w:link w:val="Heading9Char"/>
    <w:qFormat/>
    <w:locked/>
    <w:rsid w:val="009E059A"/>
    <w:pPr>
      <w:numPr>
        <w:ilvl w:val="8"/>
        <w:numId w:val="5"/>
      </w:numPr>
      <w:spacing w:before="240" w:after="60"/>
      <w:outlineLvl w:val="8"/>
    </w:pPr>
    <w:rPr>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ppendix Level 1 Char"/>
    <w:link w:val="Heading7"/>
    <w:rsid w:val="009E059A"/>
    <w:rPr>
      <w:b/>
      <w:iCs/>
      <w:caps/>
      <w:sz w:val="24"/>
      <w:szCs w:val="24"/>
    </w:rPr>
  </w:style>
  <w:style w:type="paragraph" w:styleId="Footer">
    <w:name w:val="footer"/>
    <w:link w:val="FooterChar"/>
    <w:uiPriority w:val="99"/>
    <w:qFormat/>
    <w:rsid w:val="00603E16"/>
    <w:pPr>
      <w:spacing w:before="240"/>
      <w:contextualSpacing/>
      <w:jc w:val="center"/>
    </w:pPr>
    <w:rPr>
      <w:sz w:val="22"/>
      <w:szCs w:val="24"/>
    </w:rPr>
  </w:style>
  <w:style w:type="paragraph" w:customStyle="1" w:styleId="CaptionImageforFigure">
    <w:name w:val="Caption Image (for Figure)"/>
    <w:next w:val="Normal"/>
    <w:uiPriority w:val="1"/>
    <w:qFormat/>
    <w:rsid w:val="002E6819"/>
    <w:pPr>
      <w:spacing w:after="480"/>
      <w:ind w:left="907"/>
      <w:jc w:val="center"/>
    </w:pPr>
    <w:rPr>
      <w:sz w:val="24"/>
      <w:szCs w:val="24"/>
    </w:rPr>
  </w:style>
  <w:style w:type="paragraph" w:styleId="TOC2">
    <w:name w:val="toc 2"/>
    <w:basedOn w:val="Normal"/>
    <w:next w:val="Normal"/>
    <w:autoRedefine/>
    <w:uiPriority w:val="39"/>
    <w:qFormat/>
    <w:rsid w:val="00CF5A01"/>
    <w:pPr>
      <w:tabs>
        <w:tab w:val="left" w:pos="900"/>
        <w:tab w:val="right" w:leader="dot" w:pos="9360"/>
      </w:tabs>
      <w:ind w:left="900" w:hanging="540"/>
    </w:pPr>
    <w:rPr>
      <w:noProof/>
    </w:rPr>
  </w:style>
  <w:style w:type="paragraph" w:styleId="Header">
    <w:name w:val="header"/>
    <w:link w:val="HeaderChar"/>
    <w:uiPriority w:val="2"/>
    <w:qFormat/>
    <w:rsid w:val="00945FF4"/>
    <w:pPr>
      <w:tabs>
        <w:tab w:val="center" w:pos="4680"/>
        <w:tab w:val="right" w:pos="9360"/>
      </w:tabs>
      <w:spacing w:after="240"/>
      <w:contextualSpacing/>
    </w:pPr>
    <w:rPr>
      <w:sz w:val="22"/>
      <w:szCs w:val="24"/>
    </w:rPr>
  </w:style>
  <w:style w:type="paragraph" w:styleId="BalloonText">
    <w:name w:val="Balloon Text"/>
    <w:basedOn w:val="Normal"/>
    <w:uiPriority w:val="99"/>
    <w:semiHidden/>
    <w:rsid w:val="00BC46D3"/>
    <w:rPr>
      <w:rFonts w:ascii="Tahoma" w:hAnsi="Tahoma" w:cs="Tahoma"/>
      <w:sz w:val="16"/>
      <w:szCs w:val="16"/>
    </w:rPr>
  </w:style>
  <w:style w:type="character" w:styleId="CommentReference">
    <w:name w:val="annotation reference"/>
    <w:rsid w:val="00BC46D3"/>
    <w:rPr>
      <w:sz w:val="16"/>
      <w:szCs w:val="16"/>
    </w:rPr>
  </w:style>
  <w:style w:type="paragraph" w:styleId="CommentText">
    <w:name w:val="annotation text"/>
    <w:basedOn w:val="Normal"/>
    <w:link w:val="CommentTextChar"/>
    <w:uiPriority w:val="99"/>
    <w:rsid w:val="00BC46D3"/>
    <w:rPr>
      <w:sz w:val="20"/>
    </w:rPr>
  </w:style>
  <w:style w:type="paragraph" w:styleId="CommentSubject">
    <w:name w:val="annotation subject"/>
    <w:basedOn w:val="CommentText"/>
    <w:next w:val="CommentText"/>
    <w:uiPriority w:val="99"/>
    <w:semiHidden/>
    <w:rsid w:val="00BC46D3"/>
    <w:rPr>
      <w:b/>
      <w:bCs/>
    </w:rPr>
  </w:style>
  <w:style w:type="paragraph" w:styleId="Caption">
    <w:name w:val="caption"/>
    <w:basedOn w:val="Normal"/>
    <w:next w:val="Normal"/>
    <w:autoRedefine/>
    <w:uiPriority w:val="35"/>
    <w:qFormat/>
    <w:rsid w:val="000855F2"/>
    <w:pPr>
      <w:keepNext/>
      <w:spacing w:before="240" w:after="240"/>
      <w:jc w:val="center"/>
    </w:pPr>
    <w:rPr>
      <w:b/>
      <w:bCs/>
    </w:rPr>
  </w:style>
  <w:style w:type="paragraph" w:customStyle="1" w:styleId="Levels4-5-Note">
    <w:name w:val="Levels 4-5 - Note"/>
    <w:next w:val="Normal"/>
    <w:uiPriority w:val="1"/>
    <w:qFormat/>
    <w:rsid w:val="009E059A"/>
    <w:pPr>
      <w:numPr>
        <w:ilvl w:val="1"/>
        <w:numId w:val="6"/>
      </w:numPr>
      <w:spacing w:before="120" w:after="120"/>
    </w:pPr>
    <w:rPr>
      <w:sz w:val="24"/>
      <w:szCs w:val="24"/>
    </w:rPr>
  </w:style>
  <w:style w:type="character" w:styleId="FootnoteReference">
    <w:name w:val="footnote reference"/>
    <w:uiPriority w:val="99"/>
    <w:unhideWhenUsed/>
    <w:rsid w:val="00BC46D3"/>
    <w:rPr>
      <w:vertAlign w:val="superscript"/>
    </w:rPr>
  </w:style>
  <w:style w:type="paragraph" w:styleId="FootnoteText">
    <w:name w:val="footnote text"/>
    <w:basedOn w:val="Normal"/>
    <w:link w:val="FootnoteTextChar"/>
    <w:uiPriority w:val="99"/>
    <w:unhideWhenUsed/>
    <w:rsid w:val="00A13A43"/>
    <w:rPr>
      <w:sz w:val="20"/>
    </w:rPr>
  </w:style>
  <w:style w:type="character" w:customStyle="1" w:styleId="Heading2Char">
    <w:name w:val="Heading 2 Char"/>
    <w:link w:val="Heading2"/>
    <w:rsid w:val="009E059A"/>
    <w:rPr>
      <w:sz w:val="24"/>
      <w:szCs w:val="24"/>
    </w:rPr>
  </w:style>
  <w:style w:type="character" w:styleId="Hyperlink">
    <w:name w:val="Hyperlink"/>
    <w:uiPriority w:val="99"/>
    <w:rsid w:val="00BC46D3"/>
    <w:rPr>
      <w:color w:val="0000FF"/>
      <w:u w:val="single"/>
    </w:rPr>
  </w:style>
  <w:style w:type="character" w:customStyle="1" w:styleId="Lead-in-Underlinenobold">
    <w:name w:val="Lead-in - Underline (no bold)"/>
    <w:qFormat/>
    <w:rsid w:val="007B453B"/>
    <w:rPr>
      <w:u w:val="single"/>
    </w:rPr>
  </w:style>
  <w:style w:type="character" w:customStyle="1" w:styleId="TitleReferenceitalics">
    <w:name w:val="Title Reference (italics)"/>
    <w:qFormat/>
    <w:rsid w:val="00BC16F2"/>
    <w:rPr>
      <w:i/>
    </w:rPr>
  </w:style>
  <w:style w:type="paragraph" w:customStyle="1" w:styleId="Levels1-3-Note">
    <w:name w:val="Levels 1-3 - Note"/>
    <w:next w:val="Normal"/>
    <w:uiPriority w:val="1"/>
    <w:qFormat/>
    <w:rsid w:val="006A7749"/>
    <w:pPr>
      <w:numPr>
        <w:numId w:val="6"/>
      </w:numPr>
      <w:spacing w:before="120" w:after="120"/>
      <w:ind w:left="864"/>
    </w:pPr>
    <w:rPr>
      <w:sz w:val="24"/>
      <w:szCs w:val="24"/>
    </w:rPr>
  </w:style>
  <w:style w:type="character" w:customStyle="1" w:styleId="Lead-in-Bold">
    <w:name w:val="Lead-in - Bold"/>
    <w:qFormat/>
    <w:rsid w:val="00A9741F"/>
    <w:rPr>
      <w:b/>
      <w:szCs w:val="22"/>
    </w:rPr>
  </w:style>
  <w:style w:type="paragraph" w:customStyle="1" w:styleId="Levels4-5-Bullet">
    <w:name w:val="Levels 4-5 - Bullet"/>
    <w:basedOn w:val="Normal"/>
    <w:uiPriority w:val="1"/>
    <w:qFormat/>
    <w:rsid w:val="00464064"/>
    <w:pPr>
      <w:numPr>
        <w:numId w:val="3"/>
      </w:numPr>
      <w:tabs>
        <w:tab w:val="left" w:pos="2520"/>
      </w:tabs>
    </w:pPr>
  </w:style>
  <w:style w:type="paragraph" w:styleId="TOC4">
    <w:name w:val="toc 4"/>
    <w:basedOn w:val="Normal"/>
    <w:next w:val="Normal"/>
    <w:autoRedefine/>
    <w:uiPriority w:val="99"/>
    <w:semiHidden/>
    <w:rsid w:val="00B62EF2"/>
    <w:pPr>
      <w:tabs>
        <w:tab w:val="left" w:pos="2347"/>
        <w:tab w:val="right" w:leader="dot" w:pos="9360"/>
      </w:tabs>
      <w:spacing w:after="100" w:line="276" w:lineRule="auto"/>
      <w:ind w:left="2347" w:hanging="720"/>
    </w:pPr>
    <w:rPr>
      <w:rFonts w:eastAsiaTheme="minorEastAsia" w:cstheme="minorBidi"/>
      <w:noProof/>
      <w:szCs w:val="22"/>
    </w:rPr>
  </w:style>
  <w:style w:type="paragraph" w:styleId="TOC5">
    <w:name w:val="toc 5"/>
    <w:basedOn w:val="Normal"/>
    <w:next w:val="Normal"/>
    <w:autoRedefine/>
    <w:uiPriority w:val="99"/>
    <w:semiHidden/>
    <w:rsid w:val="00875722"/>
    <w:pPr>
      <w:spacing w:after="100" w:line="276" w:lineRule="auto"/>
      <w:ind w:left="880"/>
    </w:pPr>
    <w:rPr>
      <w:rFonts w:asciiTheme="minorHAnsi" w:eastAsiaTheme="minorEastAsia" w:hAnsiTheme="minorHAnsi" w:cstheme="minorBidi"/>
      <w:sz w:val="22"/>
      <w:szCs w:val="22"/>
    </w:rPr>
  </w:style>
  <w:style w:type="paragraph" w:styleId="TOC6">
    <w:name w:val="toc 6"/>
    <w:basedOn w:val="TOC1"/>
    <w:next w:val="Normal"/>
    <w:autoRedefine/>
    <w:uiPriority w:val="39"/>
    <w:rsid w:val="000C6550"/>
  </w:style>
  <w:style w:type="character" w:customStyle="1" w:styleId="VariableSubscript">
    <w:name w:val="Variable Subscript"/>
    <w:uiPriority w:val="1"/>
    <w:qFormat/>
    <w:rsid w:val="008D2450"/>
    <w:rPr>
      <w:vertAlign w:val="subscript"/>
    </w:rPr>
  </w:style>
  <w:style w:type="character" w:customStyle="1" w:styleId="VariableSuperscript">
    <w:name w:val="Variable Superscript"/>
    <w:uiPriority w:val="1"/>
    <w:qFormat/>
    <w:rsid w:val="004D0C66"/>
    <w:rPr>
      <w:vertAlign w:val="superscript"/>
    </w:rPr>
  </w:style>
  <w:style w:type="paragraph" w:customStyle="1" w:styleId="SignatureLine-ENDnosignature">
    <w:name w:val="Signature Line - END (no signature)"/>
    <w:uiPriority w:val="2"/>
    <w:qFormat/>
    <w:rsid w:val="00377E14"/>
    <w:pPr>
      <w:spacing w:before="960"/>
    </w:pPr>
    <w:rPr>
      <w:caps/>
      <w:sz w:val="24"/>
      <w:szCs w:val="24"/>
    </w:rPr>
  </w:style>
  <w:style w:type="character" w:customStyle="1" w:styleId="VariableSubscriptBold">
    <w:name w:val="Variable Subscript + Bold"/>
    <w:uiPriority w:val="1"/>
    <w:qFormat/>
    <w:rsid w:val="00AF1545"/>
    <w:rPr>
      <w:b/>
      <w:vertAlign w:val="subscript"/>
    </w:rPr>
  </w:style>
  <w:style w:type="character" w:customStyle="1" w:styleId="VariableSubscriptItalic">
    <w:name w:val="Variable Subscript + Italic"/>
    <w:uiPriority w:val="1"/>
    <w:qFormat/>
    <w:rsid w:val="00AF1545"/>
    <w:rPr>
      <w:i/>
      <w:vertAlign w:val="subscript"/>
    </w:rPr>
  </w:style>
  <w:style w:type="paragraph" w:customStyle="1" w:styleId="SignatureLine2-Name">
    <w:name w:val="Signature Line 2 - Name"/>
    <w:next w:val="SignatureLine3-Title"/>
    <w:uiPriority w:val="2"/>
    <w:qFormat/>
    <w:rsid w:val="00404467"/>
    <w:pPr>
      <w:spacing w:before="240"/>
    </w:pPr>
    <w:rPr>
      <w:sz w:val="24"/>
      <w:szCs w:val="24"/>
    </w:rPr>
  </w:style>
  <w:style w:type="paragraph" w:customStyle="1" w:styleId="SignatureLine3-Title">
    <w:name w:val="Signature Line 3 - Title"/>
    <w:next w:val="SignatureLine4-Organization"/>
    <w:uiPriority w:val="2"/>
    <w:qFormat/>
    <w:rsid w:val="00377E14"/>
    <w:rPr>
      <w:sz w:val="24"/>
      <w:szCs w:val="24"/>
    </w:rPr>
  </w:style>
  <w:style w:type="paragraph" w:customStyle="1" w:styleId="SignatureLine4-Organization">
    <w:name w:val="Signature Line 4 - Organization"/>
    <w:next w:val="Normal"/>
    <w:uiPriority w:val="2"/>
    <w:qFormat/>
    <w:rsid w:val="004D176E"/>
    <w:pPr>
      <w:spacing w:after="240"/>
    </w:pPr>
    <w:rPr>
      <w:sz w:val="24"/>
      <w:szCs w:val="24"/>
    </w:rPr>
  </w:style>
  <w:style w:type="paragraph" w:styleId="TOC7">
    <w:name w:val="toc 7"/>
    <w:basedOn w:val="TOC2"/>
    <w:next w:val="Normal"/>
    <w:autoRedefine/>
    <w:uiPriority w:val="99"/>
    <w:rsid w:val="00757767"/>
  </w:style>
  <w:style w:type="paragraph" w:styleId="TOC8">
    <w:name w:val="toc 8"/>
    <w:basedOn w:val="TOC3"/>
    <w:next w:val="Normal"/>
    <w:autoRedefine/>
    <w:uiPriority w:val="99"/>
    <w:rsid w:val="00B66E37"/>
  </w:style>
  <w:style w:type="table" w:styleId="TableGrid">
    <w:name w:val="Table Grid"/>
    <w:basedOn w:val="TableNormal"/>
    <w:rsid w:val="002B70F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TOC4"/>
    <w:next w:val="Normal"/>
    <w:autoRedefine/>
    <w:uiPriority w:val="99"/>
    <w:rsid w:val="00B66E37"/>
  </w:style>
  <w:style w:type="character" w:customStyle="1" w:styleId="Heading8Char">
    <w:name w:val="Heading 8 Char"/>
    <w:aliases w:val="Appendix Level 2 Char"/>
    <w:link w:val="Heading8"/>
    <w:rsid w:val="00773524"/>
    <w:rPr>
      <w:sz w:val="24"/>
    </w:rPr>
  </w:style>
  <w:style w:type="character" w:customStyle="1" w:styleId="Heading9Char">
    <w:name w:val="Heading 9 Char"/>
    <w:aliases w:val="Appendix Level 3 Char"/>
    <w:link w:val="Heading9"/>
    <w:rsid w:val="009E059A"/>
    <w:rPr>
      <w:iCs/>
      <w:sz w:val="24"/>
    </w:rPr>
  </w:style>
  <w:style w:type="paragraph" w:customStyle="1" w:styleId="Levels4-5-Equation">
    <w:name w:val="Levels 4-5 - Equation"/>
    <w:next w:val="Normal"/>
    <w:uiPriority w:val="1"/>
    <w:qFormat/>
    <w:rsid w:val="0009295B"/>
    <w:pPr>
      <w:spacing w:before="120" w:after="120"/>
      <w:ind w:left="2160"/>
      <w:jc w:val="center"/>
    </w:pPr>
    <w:rPr>
      <w:sz w:val="24"/>
      <w:szCs w:val="24"/>
    </w:rPr>
  </w:style>
  <w:style w:type="paragraph" w:customStyle="1" w:styleId="Levels1-3-NumberedNotes">
    <w:name w:val="Levels 1-3 - Numbered Notes"/>
    <w:uiPriority w:val="1"/>
    <w:qFormat/>
    <w:rsid w:val="004064A9"/>
    <w:pPr>
      <w:numPr>
        <w:numId w:val="1"/>
      </w:numPr>
      <w:spacing w:before="120" w:after="120"/>
      <w:ind w:left="864"/>
    </w:pPr>
    <w:rPr>
      <w:sz w:val="24"/>
      <w:szCs w:val="24"/>
    </w:rPr>
  </w:style>
  <w:style w:type="paragraph" w:customStyle="1" w:styleId="Levels4-5-NumberedNotes">
    <w:name w:val="Levels 4-5 - Numbered Notes"/>
    <w:uiPriority w:val="1"/>
    <w:qFormat/>
    <w:rsid w:val="0046323C"/>
    <w:pPr>
      <w:numPr>
        <w:numId w:val="2"/>
      </w:numPr>
      <w:spacing w:before="120" w:after="120"/>
    </w:pPr>
    <w:rPr>
      <w:sz w:val="24"/>
      <w:szCs w:val="24"/>
    </w:rPr>
  </w:style>
  <w:style w:type="table" w:customStyle="1" w:styleId="ACTables">
    <w:name w:val="AC Tables"/>
    <w:basedOn w:val="TableNormal"/>
    <w:uiPriority w:val="99"/>
    <w:rsid w:val="0053028A"/>
    <w:pPr>
      <w:keepLines/>
      <w:spacing w:before="60" w:after="60"/>
    </w:pPr>
    <w:tblPr>
      <w:tblInd w:w="979" w:type="dxa"/>
      <w:tblBorders>
        <w:top w:val="single" w:sz="4" w:space="0" w:color="auto"/>
        <w:bottom w:val="single" w:sz="4" w:space="0" w:color="auto"/>
      </w:tblBorders>
      <w:tblCellMar>
        <w:left w:w="115" w:type="dxa"/>
        <w:right w:w="115" w:type="dxa"/>
      </w:tblCellMar>
    </w:tblPr>
    <w:trPr>
      <w:cantSplit/>
    </w:trPr>
    <w:tcPr>
      <w:vAlign w:val="center"/>
    </w:tcPr>
    <w:tblStylePr w:type="firstRow">
      <w:pPr>
        <w:keepLines/>
        <w:widowControl/>
        <w:wordWrap/>
        <w:spacing w:beforeLines="0" w:before="120" w:beforeAutospacing="0" w:afterLines="0" w:after="120" w:afterAutospacing="0"/>
        <w:jc w:val="left"/>
      </w:pPr>
      <w:rPr>
        <w:rFonts w:ascii="Times New Roman" w:hAnsi="Times New Roman"/>
        <w:b/>
        <w:sz w:val="24"/>
      </w:rPr>
      <w:tblPr/>
      <w:tcPr>
        <w:tcBorders>
          <w:top w:val="single" w:sz="4" w:space="0" w:color="auto"/>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styleId="Table3Deffects3">
    <w:name w:val="Table 3D effects 3"/>
    <w:basedOn w:val="TableNormal"/>
    <w:rsid w:val="005A2EA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6F39C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
    <w:name w:val="Heading 1 Char"/>
    <w:link w:val="Heading1"/>
    <w:rsid w:val="009E059A"/>
    <w:rPr>
      <w:b/>
      <w:caps/>
      <w:sz w:val="24"/>
      <w:szCs w:val="24"/>
    </w:rPr>
  </w:style>
  <w:style w:type="character" w:customStyle="1" w:styleId="Heading3Char">
    <w:name w:val="Heading 3 Char"/>
    <w:link w:val="Heading3"/>
    <w:rsid w:val="009E059A"/>
    <w:rPr>
      <w:sz w:val="24"/>
      <w:szCs w:val="24"/>
    </w:rPr>
  </w:style>
  <w:style w:type="character" w:customStyle="1" w:styleId="Heading4Char">
    <w:name w:val="Heading 4 Char"/>
    <w:basedOn w:val="DefaultParagraphFont"/>
    <w:link w:val="Heading4"/>
    <w:rsid w:val="009E059A"/>
    <w:rPr>
      <w:sz w:val="24"/>
      <w:szCs w:val="24"/>
    </w:rPr>
  </w:style>
  <w:style w:type="character" w:customStyle="1" w:styleId="Heading5Char">
    <w:name w:val="Heading 5 Char"/>
    <w:basedOn w:val="DefaultParagraphFont"/>
    <w:link w:val="Heading5"/>
    <w:rsid w:val="009E059A"/>
    <w:rPr>
      <w:sz w:val="24"/>
      <w:szCs w:val="24"/>
    </w:rPr>
  </w:style>
  <w:style w:type="character" w:customStyle="1" w:styleId="Heading6Char">
    <w:name w:val="Heading 6 Char"/>
    <w:aliases w:val="Appendix No./Name Char"/>
    <w:link w:val="Heading6"/>
    <w:rsid w:val="009E059A"/>
    <w:rPr>
      <w:b/>
      <w:sz w:val="24"/>
      <w:szCs w:val="24"/>
    </w:rPr>
  </w:style>
  <w:style w:type="paragraph" w:styleId="TOC1">
    <w:name w:val="toc 1"/>
    <w:basedOn w:val="Normal"/>
    <w:next w:val="Normal"/>
    <w:autoRedefine/>
    <w:uiPriority w:val="39"/>
    <w:qFormat/>
    <w:rsid w:val="00B66E37"/>
    <w:pPr>
      <w:tabs>
        <w:tab w:val="left" w:pos="360"/>
        <w:tab w:val="right" w:leader="dot" w:pos="9360"/>
      </w:tabs>
      <w:ind w:left="360" w:hanging="360"/>
    </w:pPr>
    <w:rPr>
      <w:noProof/>
      <w:szCs w:val="22"/>
    </w:rPr>
  </w:style>
  <w:style w:type="paragraph" w:styleId="TOC3">
    <w:name w:val="toc 3"/>
    <w:basedOn w:val="Normal"/>
    <w:next w:val="Normal"/>
    <w:autoRedefine/>
    <w:uiPriority w:val="39"/>
    <w:qFormat/>
    <w:rsid w:val="00B66E37"/>
    <w:pPr>
      <w:tabs>
        <w:tab w:val="left" w:pos="1620"/>
        <w:tab w:val="right" w:leader="dot" w:pos="9360"/>
      </w:tabs>
      <w:ind w:left="1620" w:hanging="720"/>
    </w:pPr>
    <w:rPr>
      <w:noProof/>
      <w:szCs w:val="22"/>
    </w:rPr>
  </w:style>
  <w:style w:type="paragraph" w:customStyle="1" w:styleId="TOCSubheading">
    <w:name w:val="TOC Subheading"/>
    <w:basedOn w:val="Normal"/>
    <w:next w:val="Normal"/>
    <w:uiPriority w:val="3"/>
    <w:rsid w:val="00911540"/>
    <w:pPr>
      <w:tabs>
        <w:tab w:val="right" w:pos="9360"/>
      </w:tabs>
    </w:pPr>
    <w:rPr>
      <w:b/>
      <w:szCs w:val="20"/>
    </w:rPr>
  </w:style>
  <w:style w:type="paragraph" w:customStyle="1" w:styleId="TOCAppendixHeading">
    <w:name w:val="TOC Appendix Heading"/>
    <w:next w:val="TOCSubheading"/>
    <w:uiPriority w:val="3"/>
    <w:qFormat/>
    <w:rsid w:val="001D1D90"/>
    <w:pPr>
      <w:spacing w:before="720" w:after="240"/>
      <w:jc w:val="center"/>
    </w:pPr>
    <w:rPr>
      <w:b/>
      <w:sz w:val="24"/>
      <w:szCs w:val="24"/>
    </w:rPr>
  </w:style>
  <w:style w:type="paragraph" w:customStyle="1" w:styleId="TOCAppendixItem">
    <w:name w:val="TOC Appendix Item"/>
    <w:basedOn w:val="Normal"/>
    <w:uiPriority w:val="3"/>
    <w:qFormat/>
    <w:rsid w:val="00630725"/>
    <w:pPr>
      <w:tabs>
        <w:tab w:val="left" w:pos="1440"/>
        <w:tab w:val="right" w:leader="dot" w:pos="9346"/>
      </w:tabs>
    </w:pPr>
  </w:style>
  <w:style w:type="paragraph" w:customStyle="1" w:styleId="ACMasthead-BottomLineRow">
    <w:name w:val="AC Masthead - Bottom Line Row"/>
    <w:basedOn w:val="Normal"/>
    <w:uiPriority w:val="3"/>
    <w:semiHidden/>
    <w:rsid w:val="00AD7938"/>
    <w:rPr>
      <w:sz w:val="2"/>
      <w:szCs w:val="20"/>
    </w:rPr>
  </w:style>
  <w:style w:type="paragraph" w:customStyle="1" w:styleId="ACMasthead-FAALogo">
    <w:name w:val="AC Masthead - FAA Logo"/>
    <w:basedOn w:val="Normal"/>
    <w:uiPriority w:val="3"/>
    <w:semiHidden/>
    <w:rsid w:val="00AD7938"/>
    <w:pPr>
      <w:spacing w:before="20"/>
    </w:pPr>
    <w:rPr>
      <w:rFonts w:ascii="Arial" w:hAnsi="Arial"/>
      <w:sz w:val="20"/>
      <w:szCs w:val="20"/>
    </w:rPr>
  </w:style>
  <w:style w:type="paragraph" w:customStyle="1" w:styleId="ACMasthead-FAA">
    <w:name w:val="AC Masthead - FAA"/>
    <w:basedOn w:val="Normal"/>
    <w:uiPriority w:val="3"/>
    <w:semiHidden/>
    <w:rsid w:val="00AD7938"/>
    <w:pPr>
      <w:spacing w:before="20" w:after="40"/>
    </w:pPr>
    <w:rPr>
      <w:rFonts w:ascii="Arial" w:hAnsi="Arial"/>
      <w:b/>
      <w:bCs/>
      <w:sz w:val="20"/>
      <w:szCs w:val="20"/>
    </w:rPr>
  </w:style>
  <w:style w:type="paragraph" w:customStyle="1" w:styleId="ACMasthead-SubjectLine">
    <w:name w:val="AC Masthead - Subject Line"/>
    <w:uiPriority w:val="3"/>
    <w:qFormat/>
    <w:rsid w:val="00AD7938"/>
    <w:pPr>
      <w:spacing w:before="60" w:after="60"/>
    </w:pPr>
    <w:rPr>
      <w:sz w:val="22"/>
      <w:szCs w:val="24"/>
    </w:rPr>
  </w:style>
  <w:style w:type="paragraph" w:customStyle="1" w:styleId="ACMasthead-Title">
    <w:name w:val="AC Masthead - Title"/>
    <w:basedOn w:val="Normal"/>
    <w:uiPriority w:val="3"/>
    <w:semiHidden/>
    <w:rsid w:val="00AD7938"/>
    <w:pPr>
      <w:spacing w:after="1080" w:line="720" w:lineRule="exact"/>
    </w:pPr>
    <w:rPr>
      <w:rFonts w:ascii="Univers (W1)" w:hAnsi="Univers (W1)"/>
      <w:b/>
      <w:bCs/>
      <w:sz w:val="74"/>
      <w:szCs w:val="20"/>
    </w:rPr>
  </w:style>
  <w:style w:type="paragraph" w:customStyle="1" w:styleId="ACMasthead-USDOT">
    <w:name w:val="AC Masthead - US DOT"/>
    <w:basedOn w:val="Normal"/>
    <w:uiPriority w:val="3"/>
    <w:semiHidden/>
    <w:rsid w:val="00AD7938"/>
    <w:pPr>
      <w:spacing w:before="20" w:after="40" w:line="180" w:lineRule="atLeast"/>
    </w:pPr>
    <w:rPr>
      <w:rFonts w:ascii="Univers (W1)" w:hAnsi="Univers (W1)"/>
      <w:sz w:val="20"/>
      <w:szCs w:val="20"/>
    </w:rPr>
  </w:style>
  <w:style w:type="numbering" w:customStyle="1" w:styleId="ISO-ACNumberingdonotchangedelete">
    <w:name w:val="ISO - AC Numbering (do not change/delete)"/>
    <w:basedOn w:val="NoList"/>
    <w:uiPriority w:val="99"/>
    <w:rsid w:val="009E059A"/>
    <w:pPr>
      <w:numPr>
        <w:numId w:val="11"/>
      </w:numPr>
    </w:pPr>
  </w:style>
  <w:style w:type="paragraph" w:customStyle="1" w:styleId="Levels1-3-Bullet">
    <w:name w:val="Levels 1-3 - Bullet"/>
    <w:uiPriority w:val="1"/>
    <w:qFormat/>
    <w:rsid w:val="003E3263"/>
    <w:pPr>
      <w:numPr>
        <w:numId w:val="4"/>
      </w:numPr>
      <w:spacing w:before="120" w:after="120"/>
    </w:pPr>
    <w:rPr>
      <w:sz w:val="24"/>
      <w:szCs w:val="24"/>
    </w:rPr>
  </w:style>
  <w:style w:type="paragraph" w:customStyle="1" w:styleId="Levels1-3-Equation">
    <w:name w:val="Levels 1-3 - Equation"/>
    <w:next w:val="Normal"/>
    <w:uiPriority w:val="1"/>
    <w:qFormat/>
    <w:rsid w:val="0071217B"/>
    <w:pPr>
      <w:spacing w:before="120" w:after="120"/>
      <w:ind w:left="864"/>
      <w:jc w:val="center"/>
    </w:pPr>
    <w:rPr>
      <w:sz w:val="24"/>
      <w:szCs w:val="24"/>
    </w:rPr>
  </w:style>
  <w:style w:type="numbering" w:customStyle="1" w:styleId="ISO-ACNotesdonotchangedelete">
    <w:name w:val="ISO - AC Notes (do not change/delete)"/>
    <w:basedOn w:val="NoList"/>
    <w:uiPriority w:val="99"/>
    <w:rsid w:val="009E059A"/>
    <w:pPr>
      <w:numPr>
        <w:numId w:val="12"/>
      </w:numPr>
    </w:pPr>
  </w:style>
  <w:style w:type="character" w:customStyle="1" w:styleId="HeaderChar">
    <w:name w:val="Header Char"/>
    <w:link w:val="Header"/>
    <w:uiPriority w:val="2"/>
    <w:rsid w:val="004D6684"/>
    <w:rPr>
      <w:sz w:val="22"/>
      <w:szCs w:val="24"/>
    </w:rPr>
  </w:style>
  <w:style w:type="character" w:customStyle="1" w:styleId="FooterChar">
    <w:name w:val="Footer Char"/>
    <w:link w:val="Footer"/>
    <w:uiPriority w:val="99"/>
    <w:rsid w:val="004D6684"/>
    <w:rPr>
      <w:sz w:val="22"/>
      <w:szCs w:val="24"/>
    </w:rPr>
  </w:style>
  <w:style w:type="character" w:styleId="FollowedHyperlink">
    <w:name w:val="FollowedHyperlink"/>
    <w:uiPriority w:val="99"/>
    <w:semiHidden/>
    <w:rsid w:val="00C1612C"/>
    <w:rPr>
      <w:color w:val="800080"/>
      <w:u w:val="single"/>
    </w:rPr>
  </w:style>
  <w:style w:type="paragraph" w:customStyle="1" w:styleId="Levels1-3-OneParagraphUnderHeading">
    <w:name w:val="Levels 1-3 - One Paragraph Under Heading"/>
    <w:basedOn w:val="Normal"/>
    <w:link w:val="Levels1-3-OneParagraphUnderHeadingChar"/>
    <w:uiPriority w:val="1"/>
    <w:qFormat/>
    <w:rsid w:val="009E4044"/>
    <w:pPr>
      <w:ind w:left="864"/>
    </w:pPr>
  </w:style>
  <w:style w:type="paragraph" w:customStyle="1" w:styleId="Levels1-3-OrderedList">
    <w:name w:val="Levels 1-3 - Ordered List"/>
    <w:basedOn w:val="Normal"/>
    <w:autoRedefine/>
    <w:uiPriority w:val="1"/>
    <w:qFormat/>
    <w:rsid w:val="004369C8"/>
    <w:pPr>
      <w:numPr>
        <w:numId w:val="8"/>
      </w:numPr>
      <w:ind w:left="1530"/>
    </w:pPr>
  </w:style>
  <w:style w:type="paragraph" w:customStyle="1" w:styleId="Levels4-5-OrderedList">
    <w:name w:val="Levels 4-5 - Ordered List"/>
    <w:basedOn w:val="Normal"/>
    <w:uiPriority w:val="1"/>
    <w:qFormat/>
    <w:rsid w:val="00F16724"/>
    <w:pPr>
      <w:numPr>
        <w:numId w:val="9"/>
      </w:numPr>
      <w:ind w:left="864" w:firstLine="0"/>
      <w:jc w:val="center"/>
    </w:pPr>
  </w:style>
  <w:style w:type="table" w:styleId="Table3Deffects1">
    <w:name w:val="Table 3D effects 1"/>
    <w:basedOn w:val="TableNormal"/>
    <w:rsid w:val="0053028A"/>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Levels4-5-OneParagraphUnderHeading">
    <w:name w:val="Levels 4-5 - One Paragraph Under Heading"/>
    <w:basedOn w:val="Normal"/>
    <w:uiPriority w:val="1"/>
    <w:qFormat/>
    <w:rsid w:val="00E00AB7"/>
    <w:pPr>
      <w:ind w:left="2160"/>
    </w:pPr>
  </w:style>
  <w:style w:type="paragraph" w:customStyle="1" w:styleId="TOCFiguresHeading">
    <w:name w:val="TOC Figures Heading"/>
    <w:next w:val="TOCSubheading"/>
    <w:uiPriority w:val="3"/>
    <w:qFormat/>
    <w:rsid w:val="001D1D90"/>
    <w:pPr>
      <w:spacing w:before="720" w:after="240"/>
      <w:jc w:val="center"/>
    </w:pPr>
    <w:rPr>
      <w:b/>
      <w:iCs/>
      <w:sz w:val="24"/>
    </w:rPr>
  </w:style>
  <w:style w:type="table" w:customStyle="1" w:styleId="ACTables2">
    <w:name w:val="AC Tables 2"/>
    <w:basedOn w:val="TableNormal"/>
    <w:uiPriority w:val="99"/>
    <w:rsid w:val="00A561AA"/>
    <w:tblPr>
      <w:tblInd w:w="864" w:type="dxa"/>
      <w:tblBorders>
        <w:top w:val="single" w:sz="8" w:space="0" w:color="auto"/>
        <w:bottom w:val="single" w:sz="8" w:space="0" w:color="auto"/>
        <w:insideH w:val="single" w:sz="2" w:space="0" w:color="auto"/>
        <w:insideV w:val="single" w:sz="2" w:space="0" w:color="auto"/>
      </w:tblBorders>
    </w:tblPr>
    <w:tblStylePr w:type="firstRow">
      <w:pPr>
        <w:jc w:val="left"/>
      </w:pPr>
      <w:rPr>
        <w:b/>
        <w:i w:val="0"/>
      </w:rPr>
      <w:tblPr/>
      <w:tcPr>
        <w:tcBorders>
          <w:top w:val="single" w:sz="12" w:space="0" w:color="auto"/>
          <w:left w:val="nil"/>
          <w:bottom w:val="single" w:sz="12" w:space="0" w:color="auto"/>
          <w:right w:val="nil"/>
          <w:insideH w:val="nil"/>
          <w:insideV w:val="single" w:sz="4" w:space="0" w:color="auto"/>
          <w:tl2br w:val="nil"/>
          <w:tr2bl w:val="nil"/>
        </w:tcBorders>
      </w:tcPr>
    </w:tblStylePr>
    <w:tblStylePr w:type="lastRow">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SignatureLine1-s">
    <w:name w:val="Signature Line 1 - /s/"/>
    <w:next w:val="SignatureLine2-Name"/>
    <w:uiPriority w:val="2"/>
    <w:qFormat/>
    <w:rsid w:val="00EB275F"/>
    <w:pPr>
      <w:spacing w:before="480" w:after="240"/>
    </w:pPr>
    <w:rPr>
      <w:i/>
      <w:sz w:val="24"/>
      <w:szCs w:val="24"/>
    </w:rPr>
  </w:style>
  <w:style w:type="paragraph" w:customStyle="1" w:styleId="TOCTablesHeading">
    <w:name w:val="TOC Tables Heading"/>
    <w:next w:val="Normal"/>
    <w:uiPriority w:val="3"/>
    <w:qFormat/>
    <w:rsid w:val="001D1D90"/>
    <w:pPr>
      <w:spacing w:before="720" w:after="240"/>
      <w:jc w:val="center"/>
    </w:pPr>
    <w:rPr>
      <w:b/>
      <w:iCs/>
      <w:sz w:val="24"/>
    </w:rPr>
  </w:style>
  <w:style w:type="paragraph" w:styleId="TOCHeading">
    <w:name w:val="TOC Heading"/>
    <w:next w:val="TOCSubheading"/>
    <w:uiPriority w:val="3"/>
    <w:qFormat/>
    <w:rsid w:val="00065136"/>
    <w:pPr>
      <w:keepLines/>
      <w:spacing w:before="480" w:after="240"/>
      <w:jc w:val="center"/>
    </w:pPr>
    <w:rPr>
      <w:rFonts w:ascii="Times New Roman Bold" w:eastAsiaTheme="majorEastAsia" w:hAnsi="Times New Roman Bold" w:cstheme="majorBidi"/>
      <w:b/>
      <w:bCs/>
      <w:sz w:val="24"/>
      <w:szCs w:val="28"/>
    </w:rPr>
  </w:style>
  <w:style w:type="paragraph" w:customStyle="1" w:styleId="Heading10">
    <w:name w:val="Heading_10"/>
    <w:aliases w:val="Appendix Level 4"/>
    <w:basedOn w:val="Normal"/>
    <w:rsid w:val="005401E2"/>
    <w:pPr>
      <w:spacing w:before="240" w:after="60"/>
      <w:ind w:left="2160" w:hanging="1296"/>
    </w:pPr>
    <w:rPr>
      <w:szCs w:val="20"/>
    </w:rPr>
  </w:style>
  <w:style w:type="paragraph" w:customStyle="1" w:styleId="Heading11">
    <w:name w:val="Heading_11"/>
    <w:aliases w:val="Appendix Level 5"/>
    <w:basedOn w:val="Normal"/>
    <w:qFormat/>
    <w:rsid w:val="005401E2"/>
    <w:pPr>
      <w:tabs>
        <w:tab w:val="left" w:pos="2160"/>
      </w:tabs>
      <w:spacing w:before="240" w:after="60"/>
      <w:ind w:left="2160" w:hanging="1296"/>
    </w:pPr>
  </w:style>
  <w:style w:type="paragraph" w:customStyle="1" w:styleId="FeedbackForm-Checkbox1">
    <w:name w:val="Feedback Form - Checkbox 1"/>
    <w:uiPriority w:val="99"/>
    <w:semiHidden/>
    <w:qFormat/>
    <w:rsid w:val="008C730D"/>
    <w:pPr>
      <w:tabs>
        <w:tab w:val="left" w:pos="547"/>
      </w:tabs>
      <w:spacing w:before="240"/>
      <w:ind w:left="540" w:hanging="540"/>
    </w:pPr>
    <w:rPr>
      <w:sz w:val="24"/>
      <w:szCs w:val="24"/>
    </w:rPr>
  </w:style>
  <w:style w:type="paragraph" w:customStyle="1" w:styleId="FeedbackForm-Checkbox2">
    <w:name w:val="Feedback Form - Checkbox 2"/>
    <w:uiPriority w:val="99"/>
    <w:semiHidden/>
    <w:qFormat/>
    <w:rsid w:val="008C730D"/>
    <w:pPr>
      <w:tabs>
        <w:tab w:val="left" w:pos="547"/>
      </w:tabs>
      <w:spacing w:before="360" w:after="240"/>
      <w:ind w:left="547" w:hanging="547"/>
    </w:pPr>
    <w:rPr>
      <w:sz w:val="24"/>
      <w:szCs w:val="24"/>
    </w:rPr>
  </w:style>
  <w:style w:type="paragraph" w:customStyle="1" w:styleId="FeedbackForm-Checkbox3">
    <w:name w:val="Feedback Form - Checkbox 3"/>
    <w:uiPriority w:val="99"/>
    <w:semiHidden/>
    <w:qFormat/>
    <w:rsid w:val="008C730D"/>
    <w:pPr>
      <w:tabs>
        <w:tab w:val="left" w:pos="547"/>
      </w:tabs>
      <w:spacing w:before="360"/>
      <w:ind w:left="540" w:hanging="540"/>
    </w:pPr>
    <w:rPr>
      <w:sz w:val="24"/>
      <w:szCs w:val="24"/>
    </w:rPr>
  </w:style>
  <w:style w:type="paragraph" w:customStyle="1" w:styleId="FeedbackForm-Checkbox4">
    <w:name w:val="Feedback Form - Checkbox 4"/>
    <w:uiPriority w:val="99"/>
    <w:semiHidden/>
    <w:qFormat/>
    <w:rsid w:val="008C730D"/>
    <w:pPr>
      <w:tabs>
        <w:tab w:val="left" w:pos="547"/>
      </w:tabs>
      <w:spacing w:before="360" w:after="240"/>
      <w:ind w:left="540" w:hanging="540"/>
    </w:pPr>
    <w:rPr>
      <w:sz w:val="24"/>
      <w:szCs w:val="24"/>
    </w:rPr>
  </w:style>
  <w:style w:type="paragraph" w:customStyle="1" w:styleId="FeedbackForm-Checkbox5">
    <w:name w:val="Feedback Form - Checkbox 5"/>
    <w:uiPriority w:val="99"/>
    <w:semiHidden/>
    <w:qFormat/>
    <w:rsid w:val="008C730D"/>
    <w:pPr>
      <w:tabs>
        <w:tab w:val="left" w:pos="547"/>
      </w:tabs>
      <w:spacing w:before="360" w:after="240"/>
      <w:ind w:left="540" w:hanging="540"/>
    </w:pPr>
    <w:rPr>
      <w:sz w:val="24"/>
      <w:szCs w:val="24"/>
    </w:rPr>
  </w:style>
  <w:style w:type="paragraph" w:customStyle="1" w:styleId="FeedbackForm-CheckboxInstruction">
    <w:name w:val="Feedback Form - Checkbox Instruction"/>
    <w:uiPriority w:val="99"/>
    <w:semiHidden/>
    <w:qFormat/>
    <w:rsid w:val="008C730D"/>
    <w:pPr>
      <w:spacing w:after="240"/>
      <w:ind w:left="547"/>
    </w:pPr>
    <w:rPr>
      <w:i/>
      <w:sz w:val="22"/>
      <w:szCs w:val="24"/>
    </w:rPr>
  </w:style>
  <w:style w:type="paragraph" w:customStyle="1" w:styleId="FeedbackForm-CheckboxLead-in">
    <w:name w:val="Feedback Form - Checkbox Lead-in"/>
    <w:uiPriority w:val="99"/>
    <w:semiHidden/>
    <w:qFormat/>
    <w:rsid w:val="008C730D"/>
    <w:pPr>
      <w:spacing w:before="360" w:after="240"/>
    </w:pPr>
    <w:rPr>
      <w:i/>
      <w:sz w:val="24"/>
      <w:szCs w:val="24"/>
    </w:rPr>
  </w:style>
  <w:style w:type="paragraph" w:customStyle="1" w:styleId="FeedbackForm-CheckboxResponse">
    <w:name w:val="Feedback Form - Checkbox Response"/>
    <w:uiPriority w:val="99"/>
    <w:semiHidden/>
    <w:qFormat/>
    <w:rsid w:val="008C730D"/>
    <w:pPr>
      <w:ind w:left="547"/>
    </w:pPr>
    <w:rPr>
      <w:sz w:val="24"/>
      <w:szCs w:val="24"/>
    </w:rPr>
  </w:style>
  <w:style w:type="paragraph" w:customStyle="1" w:styleId="FeedbackForm-Heading">
    <w:name w:val="Feedback Form - Heading"/>
    <w:basedOn w:val="Normal"/>
    <w:uiPriority w:val="99"/>
    <w:semiHidden/>
    <w:qFormat/>
    <w:rsid w:val="008C730D"/>
    <w:pPr>
      <w:spacing w:after="360"/>
      <w:jc w:val="center"/>
    </w:pPr>
    <w:rPr>
      <w:b/>
    </w:rPr>
  </w:style>
  <w:style w:type="paragraph" w:customStyle="1" w:styleId="FeedbackForm-Instructions">
    <w:name w:val="Feedback Form - Instructions"/>
    <w:uiPriority w:val="99"/>
    <w:semiHidden/>
    <w:qFormat/>
    <w:rsid w:val="008C730D"/>
    <w:pPr>
      <w:spacing w:after="360"/>
    </w:pPr>
    <w:rPr>
      <w:sz w:val="24"/>
      <w:szCs w:val="24"/>
    </w:rPr>
  </w:style>
  <w:style w:type="paragraph" w:customStyle="1" w:styleId="FeedbackForm-SignatureLine">
    <w:name w:val="Feedback Form - Signature Line"/>
    <w:uiPriority w:val="99"/>
    <w:semiHidden/>
    <w:qFormat/>
    <w:rsid w:val="008C730D"/>
    <w:pPr>
      <w:tabs>
        <w:tab w:val="left" w:pos="5220"/>
        <w:tab w:val="left" w:pos="5760"/>
        <w:tab w:val="right" w:pos="9360"/>
      </w:tabs>
      <w:spacing w:before="480"/>
    </w:pPr>
    <w:rPr>
      <w:sz w:val="24"/>
      <w:szCs w:val="24"/>
    </w:rPr>
  </w:style>
  <w:style w:type="paragraph" w:customStyle="1" w:styleId="FeedbackForm-SubjectLine">
    <w:name w:val="Feedback Form - Subject Line"/>
    <w:uiPriority w:val="99"/>
    <w:semiHidden/>
    <w:qFormat/>
    <w:rsid w:val="008C730D"/>
    <w:pPr>
      <w:tabs>
        <w:tab w:val="left" w:pos="5760"/>
      </w:tabs>
      <w:spacing w:before="480" w:after="360"/>
    </w:pPr>
    <w:rPr>
      <w:sz w:val="24"/>
      <w:szCs w:val="24"/>
    </w:rPr>
  </w:style>
  <w:style w:type="character" w:customStyle="1" w:styleId="Levels1-3-OneParagraphUnderHeadingChar">
    <w:name w:val="Levels 1-3 - One Paragraph Under Heading Char"/>
    <w:basedOn w:val="DefaultParagraphFont"/>
    <w:link w:val="Levels1-3-OneParagraphUnderHeading"/>
    <w:uiPriority w:val="1"/>
    <w:rsid w:val="006C4FD9"/>
    <w:rPr>
      <w:sz w:val="24"/>
      <w:szCs w:val="24"/>
    </w:rPr>
  </w:style>
  <w:style w:type="character" w:customStyle="1" w:styleId="CommentTextChar">
    <w:name w:val="Comment Text Char"/>
    <w:basedOn w:val="DefaultParagraphFont"/>
    <w:link w:val="CommentText"/>
    <w:uiPriority w:val="99"/>
    <w:rsid w:val="006C4FD9"/>
    <w:rPr>
      <w:szCs w:val="24"/>
    </w:rPr>
  </w:style>
  <w:style w:type="paragraph" w:customStyle="1" w:styleId="CM4">
    <w:name w:val="CM4"/>
    <w:basedOn w:val="Normal"/>
    <w:next w:val="Normal"/>
    <w:uiPriority w:val="99"/>
    <w:rsid w:val="00E4125C"/>
    <w:pPr>
      <w:autoSpaceDE w:val="0"/>
      <w:autoSpaceDN w:val="0"/>
      <w:adjustRightInd w:val="0"/>
      <w:spacing w:line="278" w:lineRule="atLeast"/>
    </w:pPr>
  </w:style>
  <w:style w:type="paragraph" w:customStyle="1" w:styleId="Default">
    <w:name w:val="Default"/>
    <w:rsid w:val="00764C4F"/>
    <w:pPr>
      <w:autoSpaceDE w:val="0"/>
      <w:autoSpaceDN w:val="0"/>
      <w:adjustRightInd w:val="0"/>
    </w:pPr>
    <w:rPr>
      <w:color w:val="000000"/>
      <w:sz w:val="24"/>
      <w:szCs w:val="24"/>
    </w:rPr>
  </w:style>
  <w:style w:type="paragraph" w:customStyle="1" w:styleId="Levels1Cover">
    <w:name w:val="Levels 1 Cover"/>
    <w:rsid w:val="00764C4F"/>
    <w:rPr>
      <w:color w:val="000000"/>
      <w:sz w:val="24"/>
      <w:szCs w:val="24"/>
    </w:rPr>
  </w:style>
  <w:style w:type="paragraph" w:customStyle="1" w:styleId="a-2ndlevel">
    <w:name w:val="a.  -  2nd level"/>
    <w:basedOn w:val="Normal"/>
    <w:link w:val="a-2ndlevelChar"/>
    <w:qFormat/>
    <w:rsid w:val="00764C4F"/>
    <w:pPr>
      <w:tabs>
        <w:tab w:val="left" w:pos="835"/>
      </w:tabs>
      <w:spacing w:after="240"/>
      <w:ind w:firstLine="461"/>
    </w:pPr>
    <w:rPr>
      <w:szCs w:val="20"/>
    </w:rPr>
  </w:style>
  <w:style w:type="character" w:customStyle="1" w:styleId="a-2ndlevelChar">
    <w:name w:val="a.  -  2nd level Char"/>
    <w:link w:val="a-2ndlevel"/>
    <w:rsid w:val="00764C4F"/>
    <w:rPr>
      <w:sz w:val="24"/>
    </w:rPr>
  </w:style>
  <w:style w:type="paragraph" w:customStyle="1" w:styleId="1-3rdlevel">
    <w:name w:val="(1) -  3rd level"/>
    <w:basedOn w:val="Normal"/>
    <w:rsid w:val="00917C46"/>
    <w:pPr>
      <w:tabs>
        <w:tab w:val="left" w:pos="1224"/>
      </w:tabs>
      <w:spacing w:before="240"/>
      <w:ind w:left="2520" w:hanging="360"/>
    </w:pPr>
    <w:rPr>
      <w:noProof/>
      <w:szCs w:val="20"/>
    </w:rPr>
  </w:style>
  <w:style w:type="paragraph" w:customStyle="1" w:styleId="13rdlevel">
    <w:name w:val="&quot;(1)&quot;  3rd level"/>
    <w:basedOn w:val="Normal"/>
    <w:rsid w:val="00917C46"/>
    <w:pPr>
      <w:numPr>
        <w:numId w:val="13"/>
      </w:numPr>
    </w:pPr>
    <w:rPr>
      <w:szCs w:val="20"/>
    </w:rPr>
  </w:style>
  <w:style w:type="paragraph" w:customStyle="1" w:styleId="Subparagraph1">
    <w:name w:val="Subparagraph (1)"/>
    <w:basedOn w:val="Normal"/>
    <w:rsid w:val="00206D22"/>
    <w:pPr>
      <w:numPr>
        <w:ilvl w:val="3"/>
        <w:numId w:val="14"/>
      </w:numPr>
      <w:spacing w:line="480" w:lineRule="auto"/>
    </w:pPr>
    <w:rPr>
      <w:szCs w:val="20"/>
    </w:rPr>
  </w:style>
  <w:style w:type="paragraph" w:customStyle="1" w:styleId="a2ndlevel">
    <w:name w:val="&quot; a.&quot;  2nd level"/>
    <w:basedOn w:val="Normal"/>
    <w:rsid w:val="00206D22"/>
    <w:pPr>
      <w:numPr>
        <w:numId w:val="14"/>
      </w:numPr>
    </w:pPr>
    <w:rPr>
      <w:szCs w:val="20"/>
    </w:rPr>
  </w:style>
  <w:style w:type="paragraph" w:customStyle="1" w:styleId="A-4thlevel">
    <w:name w:val="(A) - 4th level"/>
    <w:basedOn w:val="1-3rdlevel"/>
    <w:next w:val="1-3rdlevel"/>
    <w:rsid w:val="00206D22"/>
    <w:pPr>
      <w:tabs>
        <w:tab w:val="clear" w:pos="1224"/>
        <w:tab w:val="left" w:pos="1800"/>
      </w:tabs>
      <w:ind w:left="2160" w:firstLine="0"/>
    </w:pPr>
    <w:rPr>
      <w:noProof w:val="0"/>
    </w:rPr>
  </w:style>
  <w:style w:type="paragraph" w:customStyle="1" w:styleId="A4thlevel">
    <w:name w:val="(A) 4th level"/>
    <w:basedOn w:val="Normal"/>
    <w:rsid w:val="00206D22"/>
    <w:pPr>
      <w:numPr>
        <w:numId w:val="15"/>
      </w:numPr>
    </w:pPr>
    <w:rPr>
      <w:szCs w:val="20"/>
    </w:rPr>
  </w:style>
  <w:style w:type="paragraph" w:customStyle="1" w:styleId="1-1stlevel">
    <w:name w:val="1. - 1st level"/>
    <w:basedOn w:val="Heading3"/>
    <w:rsid w:val="000C4573"/>
    <w:pPr>
      <w:numPr>
        <w:numId w:val="16"/>
      </w:numPr>
      <w:spacing w:after="0"/>
    </w:pPr>
    <w:rPr>
      <w:b/>
      <w:szCs w:val="20"/>
    </w:rPr>
  </w:style>
  <w:style w:type="character" w:customStyle="1" w:styleId="FootnoteTextChar">
    <w:name w:val="Footnote Text Char"/>
    <w:basedOn w:val="DefaultParagraphFont"/>
    <w:link w:val="FootnoteText"/>
    <w:uiPriority w:val="99"/>
    <w:rsid w:val="00BE4672"/>
    <w:rPr>
      <w:szCs w:val="24"/>
    </w:rPr>
  </w:style>
  <w:style w:type="paragraph" w:styleId="BodyTextIndent">
    <w:name w:val="Body Text Indent"/>
    <w:basedOn w:val="Normal"/>
    <w:link w:val="BodyTextIndentChar"/>
    <w:semiHidden/>
    <w:rsid w:val="00502B62"/>
    <w:pPr>
      <w:ind w:left="288"/>
    </w:pPr>
    <w:rPr>
      <w:color w:val="FF0000"/>
      <w:szCs w:val="20"/>
    </w:rPr>
  </w:style>
  <w:style w:type="character" w:customStyle="1" w:styleId="BodyTextIndentChar">
    <w:name w:val="Body Text Indent Char"/>
    <w:basedOn w:val="DefaultParagraphFont"/>
    <w:link w:val="BodyTextIndent"/>
    <w:semiHidden/>
    <w:rsid w:val="00502B62"/>
    <w:rPr>
      <w:color w:val="FF0000"/>
      <w:sz w:val="24"/>
    </w:rPr>
  </w:style>
  <w:style w:type="paragraph" w:customStyle="1" w:styleId="Levels1-3OrderedListIndent">
    <w:name w:val="Levels 1-3 Ordered List Indent"/>
    <w:basedOn w:val="Levels1-3-OrderedList"/>
    <w:qFormat/>
    <w:rsid w:val="00201BB6"/>
    <w:pPr>
      <w:ind w:left="648"/>
    </w:pPr>
  </w:style>
  <w:style w:type="paragraph" w:styleId="Revision">
    <w:name w:val="Revision"/>
    <w:hidden/>
    <w:uiPriority w:val="99"/>
    <w:semiHidden/>
    <w:rsid w:val="0099285B"/>
    <w:rPr>
      <w:sz w:val="24"/>
      <w:szCs w:val="24"/>
    </w:rPr>
  </w:style>
  <w:style w:type="character" w:styleId="UnresolvedMention">
    <w:name w:val="Unresolved Mention"/>
    <w:basedOn w:val="DefaultParagraphFont"/>
    <w:uiPriority w:val="99"/>
    <w:semiHidden/>
    <w:unhideWhenUsed/>
    <w:rsid w:val="00704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210">
      <w:bodyDiv w:val="1"/>
      <w:marLeft w:val="0"/>
      <w:marRight w:val="0"/>
      <w:marTop w:val="0"/>
      <w:marBottom w:val="0"/>
      <w:divBdr>
        <w:top w:val="none" w:sz="0" w:space="0" w:color="auto"/>
        <w:left w:val="none" w:sz="0" w:space="0" w:color="auto"/>
        <w:bottom w:val="none" w:sz="0" w:space="0" w:color="auto"/>
        <w:right w:val="none" w:sz="0" w:space="0" w:color="auto"/>
      </w:divBdr>
    </w:div>
    <w:div w:id="430855768">
      <w:bodyDiv w:val="1"/>
      <w:marLeft w:val="0"/>
      <w:marRight w:val="0"/>
      <w:marTop w:val="0"/>
      <w:marBottom w:val="0"/>
      <w:divBdr>
        <w:top w:val="none" w:sz="0" w:space="0" w:color="auto"/>
        <w:left w:val="none" w:sz="0" w:space="0" w:color="auto"/>
        <w:bottom w:val="none" w:sz="0" w:space="0" w:color="auto"/>
        <w:right w:val="none" w:sz="0" w:space="0" w:color="auto"/>
      </w:divBdr>
    </w:div>
    <w:div w:id="1096554703">
      <w:bodyDiv w:val="1"/>
      <w:marLeft w:val="0"/>
      <w:marRight w:val="0"/>
      <w:marTop w:val="0"/>
      <w:marBottom w:val="0"/>
      <w:divBdr>
        <w:top w:val="none" w:sz="0" w:space="0" w:color="auto"/>
        <w:left w:val="none" w:sz="0" w:space="0" w:color="auto"/>
        <w:bottom w:val="none" w:sz="0" w:space="0" w:color="auto"/>
        <w:right w:val="none" w:sz="0" w:space="0" w:color="auto"/>
      </w:divBdr>
      <w:divsChild>
        <w:div w:id="332729213">
          <w:marLeft w:val="0"/>
          <w:marRight w:val="0"/>
          <w:marTop w:val="0"/>
          <w:marBottom w:val="0"/>
          <w:divBdr>
            <w:top w:val="none" w:sz="0" w:space="0" w:color="auto"/>
            <w:left w:val="none" w:sz="0" w:space="0" w:color="auto"/>
            <w:bottom w:val="none" w:sz="0" w:space="0" w:color="auto"/>
            <w:right w:val="none" w:sz="0" w:space="0" w:color="auto"/>
          </w:divBdr>
          <w:divsChild>
            <w:div w:id="16667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8226">
      <w:bodyDiv w:val="1"/>
      <w:marLeft w:val="0"/>
      <w:marRight w:val="0"/>
      <w:marTop w:val="0"/>
      <w:marBottom w:val="0"/>
      <w:divBdr>
        <w:top w:val="none" w:sz="0" w:space="0" w:color="auto"/>
        <w:left w:val="none" w:sz="0" w:space="0" w:color="auto"/>
        <w:bottom w:val="none" w:sz="0" w:space="0" w:color="auto"/>
        <w:right w:val="none" w:sz="0" w:space="0" w:color="auto"/>
      </w:divBdr>
    </w:div>
    <w:div w:id="2055883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image" Target="media/image4.wmf"/><Relationship Id="rId42" Type="http://schemas.openxmlformats.org/officeDocument/2006/relationships/image" Target="media/image6.emf"/><Relationship Id="rId47" Type="http://schemas.openxmlformats.org/officeDocument/2006/relationships/image" Target="media/image11.emf"/><Relationship Id="rId63" Type="http://schemas.openxmlformats.org/officeDocument/2006/relationships/image" Target="media/image27.emf"/><Relationship Id="rId6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yperlink" Target="https://www.faa.gov/sites/faa.gov/files/aircraft/air_cert/design_approvals/engine_prop/engines_Upd_Caam_report.pdf" TargetMode="External"/><Relationship Id="rId29" Type="http://schemas.openxmlformats.org/officeDocument/2006/relationships/header" Target="header5.xml"/><Relationship Id="rId11" Type="http://schemas.openxmlformats.org/officeDocument/2006/relationships/image" Target="media/image1.wmf"/><Relationship Id="rId24" Type="http://schemas.openxmlformats.org/officeDocument/2006/relationships/footer" Target="footer1.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yperlink" Target="https://www.faa.gov/aircraft/air_cert/design_approvals/engine_prop/engine_sp_topics" TargetMode="External"/><Relationship Id="rId45" Type="http://schemas.openxmlformats.org/officeDocument/2006/relationships/image" Target="media/image9.emf"/><Relationship Id="rId53" Type="http://schemas.openxmlformats.org/officeDocument/2006/relationships/image" Target="media/image17.emf"/><Relationship Id="rId58" Type="http://schemas.openxmlformats.org/officeDocument/2006/relationships/image" Target="media/image22.emf"/><Relationship Id="rId66" Type="http://schemas.openxmlformats.org/officeDocument/2006/relationships/header" Target="header14.xml"/><Relationship Id="rId5" Type="http://schemas.openxmlformats.org/officeDocument/2006/relationships/numbering" Target="numbering.xml"/><Relationship Id="rId61" Type="http://schemas.openxmlformats.org/officeDocument/2006/relationships/image" Target="media/image25.emf"/><Relationship Id="rId19" Type="http://schemas.openxmlformats.org/officeDocument/2006/relationships/image" Target="media/image2.png"/><Relationship Id="rId14" Type="http://schemas.openxmlformats.org/officeDocument/2006/relationships/hyperlink" Target="https://www.faa.gov/documentLibrary/media/Order/Order_8110.107B_Final.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9.xml"/><Relationship Id="rId43" Type="http://schemas.openxmlformats.org/officeDocument/2006/relationships/image" Target="media/image7.emf"/><Relationship Id="rId48" Type="http://schemas.openxmlformats.org/officeDocument/2006/relationships/image" Target="media/image12.emf"/><Relationship Id="rId56" Type="http://schemas.openxmlformats.org/officeDocument/2006/relationships/image" Target="media/image20.emf"/><Relationship Id="rId64" Type="http://schemas.openxmlformats.org/officeDocument/2006/relationships/image" Target="media/image28.emf"/><Relationship Id="rId69"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image" Target="media/image15.emf"/><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rs.faa.gov/browse" TargetMode="External"/><Relationship Id="rId17" Type="http://schemas.openxmlformats.org/officeDocument/2006/relationships/hyperlink" Target="https://www.faa.gov/sites/faa.gov/files/aircraft/air_cert/design_approvals/engine_prop/CAAM2_Report.pdf" TargetMode="External"/><Relationship Id="rId25" Type="http://schemas.openxmlformats.org/officeDocument/2006/relationships/footer" Target="footer2.xml"/><Relationship Id="rId33" Type="http://schemas.openxmlformats.org/officeDocument/2006/relationships/header" Target="header8.xml"/><Relationship Id="rId38" Type="http://schemas.openxmlformats.org/officeDocument/2006/relationships/footer" Target="footer6.xml"/><Relationship Id="rId46" Type="http://schemas.openxmlformats.org/officeDocument/2006/relationships/image" Target="media/image10.emf"/><Relationship Id="rId59" Type="http://schemas.openxmlformats.org/officeDocument/2006/relationships/image" Target="media/image23.emf"/><Relationship Id="rId67" Type="http://schemas.openxmlformats.org/officeDocument/2006/relationships/header" Target="header15.xml"/><Relationship Id="rId20" Type="http://schemas.openxmlformats.org/officeDocument/2006/relationships/image" Target="media/image3.png"/><Relationship Id="rId41" Type="http://schemas.openxmlformats.org/officeDocument/2006/relationships/image" Target="media/image5.emf"/><Relationship Id="rId54" Type="http://schemas.openxmlformats.org/officeDocument/2006/relationships/image" Target="media/image18.emf"/><Relationship Id="rId62" Type="http://schemas.openxmlformats.org/officeDocument/2006/relationships/image" Target="media/image26.emf"/><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a.gov/aircraft/air_cert/design_approvals/engine_prop/engine_sp_topics"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10.xml"/><Relationship Id="rId49" Type="http://schemas.openxmlformats.org/officeDocument/2006/relationships/image" Target="media/image13.emf"/><Relationship Id="rId57" Type="http://schemas.openxmlformats.org/officeDocument/2006/relationships/image" Target="media/image21.emf"/><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image" Target="media/image8.emf"/><Relationship Id="rId52" Type="http://schemas.openxmlformats.org/officeDocument/2006/relationships/image" Target="media/image16.emf"/><Relationship Id="rId60" Type="http://schemas.openxmlformats.org/officeDocument/2006/relationships/image" Target="media/image24.emf"/><Relationship Id="rId65" Type="http://schemas.openxmlformats.org/officeDocument/2006/relationships/header" Target="header13.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rs.faa.gov/browse" TargetMode="External"/><Relationship Id="rId18" Type="http://schemas.openxmlformats.org/officeDocument/2006/relationships/hyperlink" Target="https://www.faa.gov/sites/faa.gov/files/aircraft/air_cert/design_approvals/engine_prop/CAAM3_report.pdf" TargetMode="External"/><Relationship Id="rId39" Type="http://schemas.openxmlformats.org/officeDocument/2006/relationships/header" Target="header12.xml"/><Relationship Id="rId34" Type="http://schemas.openxmlformats.org/officeDocument/2006/relationships/footer" Target="footer5.xml"/><Relationship Id="rId50" Type="http://schemas.openxmlformats.org/officeDocument/2006/relationships/image" Target="media/image14.emf"/><Relationship Id="rId55" Type="http://schemas.openxmlformats.org/officeDocument/2006/relationships/image" Target="media/image19.emf"/><Relationship Id="rId7" Type="http://schemas.openxmlformats.org/officeDocument/2006/relationships/settings" Target="settings.xml"/><Relationship Id="rId7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d2d184-543c-4a3c-90ba-655831ed51da" xsi:nil="true"/>
    <lcf76f155ced4ddcb4097134ff3c332f xmlns="21aa89a8-8d54-4e70-a431-90492cc1c6d2">
      <Terms xmlns="http://schemas.microsoft.com/office/infopath/2007/PartnerControls"/>
    </lcf76f155ced4ddcb4097134ff3c332f>
    <DocumentType xmlns="21aa89a8-8d54-4e70-a431-90492cc1c6d2" xsi:nil="true"/>
    <DateModified xmlns="21aa89a8-8d54-4e70-a431-90492cc1c6d2" xsi:nil="true"/>
    <TechnicalWriter xmlns="21aa89a8-8d54-4e70-a431-90492cc1c6d2" xsi:nil="true"/>
    <DocumentNumber xmlns="21aa89a8-8d54-4e70-a431-90492cc1c6d2" xsi:nil="true"/>
    <AssignedTechnicalWriter xmlns="21aa89a8-8d54-4e70-a431-90492cc1c6d2">
      <UserInfo>
        <DisplayName/>
        <AccountId xsi:nil="true"/>
        <AccountType/>
      </UserInfo>
    </AssignedTechnicalWriter>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352B19714928684888E28494876BF09F" ma:contentTypeVersion="22" ma:contentTypeDescription="Create a new document." ma:contentTypeScope="" ma:versionID="0de746b4adc94b14e7cee1fa7c018d87">
  <xsd:schema xmlns:xsd="http://www.w3.org/2001/XMLSchema" xmlns:xs="http://www.w3.org/2001/XMLSchema" xmlns:p="http://schemas.microsoft.com/office/2006/metadata/properties" xmlns:ns2="21aa89a8-8d54-4e70-a431-90492cc1c6d2" xmlns:ns3="18d2d184-543c-4a3c-90ba-655831ed51da" targetNamespace="http://schemas.microsoft.com/office/2006/metadata/properties" ma:root="true" ma:fieldsID="566013f170ac4417f533fe1bebda3807" ns2:_="" ns3:_="">
    <xsd:import namespace="21aa89a8-8d54-4e70-a431-90492cc1c6d2"/>
    <xsd:import namespace="18d2d184-543c-4a3c-90ba-655831ed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ocumentType" minOccurs="0"/>
                <xsd:element ref="ns2:DateModified" minOccurs="0"/>
                <xsd:element ref="ns2:MediaServiceObjectDetectorVersions" minOccurs="0"/>
                <xsd:element ref="ns2:MediaServiceSearchProperties" minOccurs="0"/>
                <xsd:element ref="ns2:TechnicalWriter" minOccurs="0"/>
                <xsd:element ref="ns2:DocumentNumber" minOccurs="0"/>
                <xsd:element ref="ns2:AssignedTechnicalWr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a89a8-8d54-4e70-a431-90492cc1c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ocumentType" ma:index="19" nillable="true" ma:displayName="Document Type" ma:format="Dropdown" ma:indexed="true" ma:internalName="DocumentType">
      <xsd:simpleType>
        <xsd:restriction base="dms:Choice">
          <xsd:enumeration value="Advisory Circular"/>
          <xsd:enumeration value="ARAC Tasks"/>
          <xsd:enumeration value="ARC Charters"/>
          <xsd:enumeration value="Deviation Memos"/>
          <xsd:enumeration value="Exemptions"/>
          <xsd:enumeration value="Federal Register Notices"/>
          <xsd:enumeration value="General Memos"/>
          <xsd:enumeration value="Notices"/>
          <xsd:enumeration value="Orders"/>
          <xsd:enumeration value="Policy Memos"/>
          <xsd:enumeration value="Policy Statements"/>
          <xsd:enumeration value="Rulemaking"/>
          <xsd:enumeration value="Special Class AWC"/>
          <xsd:enumeration value="Special Conditions"/>
          <xsd:enumeration value="Technical Standard Orders"/>
        </xsd:restriction>
      </xsd:simpleType>
    </xsd:element>
    <xsd:element name="DateModified" ma:index="20" nillable="true" ma:displayName="Date Modified" ma:format="DateOnly" ma:internalName="DateModified">
      <xsd:simpleType>
        <xsd:restriction base="dms:DateTim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echnicalWriter" ma:index="23" nillable="true" ma:displayName="Technical Writer" ma:format="Dropdown" ma:indexed="true" ma:internalName="TechnicalWriter">
      <xsd:simpleType>
        <xsd:restriction base="dms:Choice">
          <xsd:enumeration value="Judith Watson"/>
          <xsd:enumeration value="Deana Stedman"/>
          <xsd:enumeration value="Michael Harrison"/>
          <xsd:enumeration value="Ami Ocampo"/>
          <xsd:enumeration value="Matthew Miller"/>
          <xsd:enumeration value="Guy Matherly"/>
          <xsd:enumeration value="Chris Grom"/>
          <xsd:enumeration value="Eric Putnam"/>
          <xsd:enumeration value="Valerie Smith"/>
          <xsd:enumeration value="Tracy Szczepaniak"/>
          <xsd:enumeration value="John Parker (CTR)"/>
          <xsd:enumeration value="Joshua Warren (CTR)"/>
          <xsd:enumeration value="Tina Valentine"/>
          <xsd:enumeration value="Maha Chaudhry (CTR)"/>
          <xsd:enumeration value="N/A"/>
          <xsd:enumeration value="PENDING"/>
          <xsd:enumeration value="Toni Davis"/>
          <xsd:enumeration value="Melissa Wetherbee (CTR)"/>
          <xsd:enumeration value="John Britton (CTR)"/>
          <xsd:enumeration value="Rhonda Jackson"/>
        </xsd:restriction>
      </xsd:simpleType>
    </xsd:element>
    <xsd:element name="DocumentNumber" ma:index="24" nillable="true" ma:displayName="Docket Number" ma:description="This needs to be either the document number or the docket number. " ma:format="Dropdown" ma:internalName="DocumentNumber">
      <xsd:simpleType>
        <xsd:restriction base="dms:Text">
          <xsd:maxLength value="255"/>
        </xsd:restriction>
      </xsd:simpleType>
    </xsd:element>
    <xsd:element name="AssignedTechnicalWriter" ma:index="25" nillable="true" ma:displayName="Assigned Technical Writer" ma:format="Dropdown" ma:list="UserInfo" ma:SharePointGroup="0" ma:internalName="AssignedTechnicalWrit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d2d184-543c-4a3c-90ba-655831ed51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21929f-0a2d-4230-92a1-c9224dcd08fe}" ma:internalName="TaxCatchAll" ma:showField="CatchAllData" ma:web="18d2d184-543c-4a3c-90ba-655831ed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DA615-EFBF-4DF0-A49D-08A40331F2A7}">
  <ds:schemaRefs>
    <ds:schemaRef ds:uri="http://purl.org/dc/dcmitype/"/>
    <ds:schemaRef ds:uri="http://schemas.openxmlformats.org/package/2006/metadata/core-properties"/>
    <ds:schemaRef ds:uri="http://purl.org/dc/terms/"/>
    <ds:schemaRef ds:uri="http://schemas.microsoft.com/office/infopath/2007/PartnerControls"/>
    <ds:schemaRef ds:uri="18d2d184-543c-4a3c-90ba-655831ed51da"/>
    <ds:schemaRef ds:uri="http://schemas.microsoft.com/office/2006/metadata/properties"/>
    <ds:schemaRef ds:uri="21aa89a8-8d54-4e70-a431-90492cc1c6d2"/>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658EA9CE-5634-49DC-8C04-1202ABF68340}">
  <ds:schemaRefs>
    <ds:schemaRef ds:uri="http://schemas.openxmlformats.org/officeDocument/2006/bibliography"/>
  </ds:schemaRefs>
</ds:datastoreItem>
</file>

<file path=customXml/itemProps3.xml><?xml version="1.0" encoding="utf-8"?>
<ds:datastoreItem xmlns:ds="http://schemas.openxmlformats.org/officeDocument/2006/customXml" ds:itemID="{BA7FEFC6-046C-483F-8B7E-6AD33D58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a89a8-8d54-4e70-a431-90492cc1c6d2"/>
    <ds:schemaRef ds:uri="18d2d184-543c-4a3c-90ba-655831ed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78CD8-FE52-4E73-8669-1C53CC321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16806</Words>
  <Characters>95795</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AC 39-8A</vt:lpstr>
    </vt:vector>
  </TitlesOfParts>
  <Company>FAA/AVS</Company>
  <LinksUpToDate>false</LinksUpToDate>
  <CharactersWithSpaces>112377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39-8A Public Comment Draft</dc:title>
  <dc:subject/>
  <dc:creator>Gray, James</dc:creator>
  <cp:keywords/>
  <dc:description/>
  <cp:lastModifiedBy>Stash, Georgia (FAA)</cp:lastModifiedBy>
  <cp:revision>2</cp:revision>
  <cp:lastPrinted>2024-10-21T14:02:00Z</cp:lastPrinted>
  <dcterms:created xsi:type="dcterms:W3CDTF">2025-09-25T14:59:00Z</dcterms:created>
  <dcterms:modified xsi:type="dcterms:W3CDTF">2025-09-25T14:59:00Z</dcterms:modified>
  <cp:category>AC 39-8A Public Comment Draf</cp:category>
  <cp:contentStatus>AC 39-8A Public Comment Draf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0x010100352B19714928684888E28494876BF09F</vt:lpwstr>
  </property>
  <property fmtid="{D5CDD505-2E9C-101B-9397-08002B2CF9AE}" pid="3" name="_dlc_DocIdItemGuid">
    <vt:lpwstr>a3745495-03ed-40ac-8902-3ac3ea945778</vt:lpwstr>
  </property>
  <property fmtid="{D5CDD505-2E9C-101B-9397-08002B2CF9AE}" pid="4" name="_NewReviewCycle">
    <vt:lpwstr/>
  </property>
  <property fmtid="{D5CDD505-2E9C-101B-9397-08002B2CF9AE}" pid="5" name="MediaServiceImageTags">
    <vt:lpwstr/>
  </property>
</Properties>
</file>