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44" w:rsidRPr="00912FC9" w:rsidRDefault="006579CD" w:rsidP="006D2944">
      <w:pPr>
        <w:tabs>
          <w:tab w:val="center" w:pos="4680"/>
        </w:tabs>
        <w:spacing w:line="245" w:lineRule="exact"/>
        <w:jc w:val="center"/>
        <w:rPr>
          <w:spacing w:val="-2"/>
          <w:kern w:val="1"/>
          <w:sz w:val="22"/>
          <w:szCs w:val="22"/>
        </w:rPr>
      </w:pPr>
      <w:r>
        <w:rPr>
          <w:b/>
          <w:spacing w:val="-2"/>
          <w:kern w:val="1"/>
          <w:sz w:val="22"/>
          <w:szCs w:val="22"/>
        </w:rPr>
        <w:t>Seventeenth</w:t>
      </w:r>
      <w:r w:rsidR="007B4279" w:rsidRPr="00912FC9">
        <w:rPr>
          <w:b/>
          <w:spacing w:val="-2"/>
          <w:kern w:val="1"/>
          <w:sz w:val="22"/>
          <w:szCs w:val="22"/>
        </w:rPr>
        <w:t xml:space="preserve"> </w:t>
      </w:r>
      <w:r w:rsidR="006D2944" w:rsidRPr="00912FC9">
        <w:rPr>
          <w:b/>
          <w:spacing w:val="-2"/>
          <w:kern w:val="1"/>
          <w:sz w:val="22"/>
          <w:szCs w:val="22"/>
        </w:rPr>
        <w:t>Meeting of the Cross Polar Trans East Air Traffic Management Providers’ Work Group (CPWG/</w:t>
      </w:r>
      <w:r w:rsidR="00B315D2" w:rsidRPr="00912FC9">
        <w:rPr>
          <w:b/>
          <w:spacing w:val="-2"/>
          <w:kern w:val="1"/>
          <w:sz w:val="22"/>
          <w:szCs w:val="22"/>
        </w:rPr>
        <w:t>1</w:t>
      </w:r>
      <w:r>
        <w:rPr>
          <w:b/>
          <w:spacing w:val="-2"/>
          <w:kern w:val="1"/>
          <w:sz w:val="22"/>
          <w:szCs w:val="22"/>
        </w:rPr>
        <w:t>7</w:t>
      </w:r>
      <w:r w:rsidR="006D2944" w:rsidRPr="00912FC9">
        <w:rPr>
          <w:b/>
          <w:spacing w:val="-2"/>
          <w:kern w:val="1"/>
          <w:sz w:val="22"/>
          <w:szCs w:val="22"/>
        </w:rPr>
        <w:t>)</w:t>
      </w:r>
    </w:p>
    <w:p w:rsidR="006D2944" w:rsidRPr="00912FC9" w:rsidRDefault="006D2944" w:rsidP="006D2944">
      <w:pPr>
        <w:tabs>
          <w:tab w:val="center" w:pos="4680"/>
        </w:tabs>
        <w:spacing w:line="245" w:lineRule="exact"/>
        <w:jc w:val="center"/>
        <w:rPr>
          <w:spacing w:val="-2"/>
          <w:kern w:val="1"/>
          <w:sz w:val="22"/>
          <w:szCs w:val="22"/>
        </w:rPr>
      </w:pPr>
    </w:p>
    <w:p w:rsidR="00F30CA8" w:rsidRPr="00912FC9" w:rsidRDefault="00F30CA8" w:rsidP="00F30CA8">
      <w:pPr>
        <w:spacing w:line="240" w:lineRule="atLeast"/>
        <w:jc w:val="center"/>
        <w:rPr>
          <w:sz w:val="22"/>
          <w:szCs w:val="22"/>
          <w:lang w:eastAsia="ja-JP"/>
        </w:rPr>
      </w:pPr>
      <w:r w:rsidRPr="00912FC9">
        <w:rPr>
          <w:spacing w:val="-2"/>
          <w:kern w:val="1"/>
          <w:sz w:val="22"/>
          <w:szCs w:val="22"/>
        </w:rPr>
        <w:t>(</w:t>
      </w:r>
      <w:r w:rsidR="006579CD">
        <w:rPr>
          <w:spacing w:val="-2"/>
          <w:kern w:val="1"/>
          <w:sz w:val="22"/>
          <w:szCs w:val="22"/>
        </w:rPr>
        <w:t>Samara, Russia, 3-6 June 2014</w:t>
      </w:r>
      <w:r w:rsidRPr="00912FC9">
        <w:rPr>
          <w:spacing w:val="-2"/>
          <w:kern w:val="1"/>
          <w:sz w:val="22"/>
          <w:szCs w:val="22"/>
        </w:rPr>
        <w:t>)</w:t>
      </w:r>
    </w:p>
    <w:p w:rsidR="006D2944" w:rsidRPr="00912FC9" w:rsidRDefault="006D2944" w:rsidP="006D2944">
      <w:pPr>
        <w:pStyle w:val="Title"/>
        <w:rPr>
          <w:b w:val="0"/>
          <w:sz w:val="22"/>
          <w:szCs w:val="22"/>
        </w:rPr>
      </w:pPr>
    </w:p>
    <w:p w:rsidR="00B3163A" w:rsidRPr="00912FC9" w:rsidRDefault="00B3163A" w:rsidP="00B3163A">
      <w:pPr>
        <w:tabs>
          <w:tab w:val="left" w:pos="1570"/>
          <w:tab w:val="left" w:pos="1896"/>
          <w:tab w:val="left" w:pos="2736"/>
          <w:tab w:val="left" w:pos="5616"/>
        </w:tabs>
        <w:spacing w:line="245" w:lineRule="exact"/>
        <w:ind w:left="1714" w:hanging="1714"/>
        <w:rPr>
          <w:b/>
          <w:spacing w:val="-2"/>
          <w:kern w:val="1"/>
          <w:sz w:val="22"/>
          <w:szCs w:val="22"/>
        </w:rPr>
      </w:pPr>
      <w:r w:rsidRPr="00912FC9">
        <w:rPr>
          <w:b/>
          <w:spacing w:val="-2"/>
          <w:kern w:val="1"/>
          <w:sz w:val="22"/>
          <w:szCs w:val="22"/>
        </w:rPr>
        <w:t>Agenda Item</w:t>
      </w:r>
      <w:r w:rsidR="005A29C2" w:rsidRPr="00912FC9">
        <w:rPr>
          <w:b/>
          <w:spacing w:val="-2"/>
          <w:kern w:val="1"/>
          <w:sz w:val="22"/>
          <w:szCs w:val="22"/>
        </w:rPr>
        <w:t xml:space="preserve"> </w:t>
      </w:r>
      <w:r w:rsidR="00956666">
        <w:rPr>
          <w:rFonts w:hint="eastAsia"/>
          <w:b/>
          <w:spacing w:val="-2"/>
          <w:kern w:val="1"/>
          <w:sz w:val="22"/>
          <w:szCs w:val="22"/>
          <w:lang w:eastAsia="ja-JP"/>
        </w:rPr>
        <w:t>5</w:t>
      </w:r>
      <w:proofErr w:type="gramStart"/>
      <w:r w:rsidR="005A29C2" w:rsidRPr="00912FC9">
        <w:rPr>
          <w:b/>
          <w:spacing w:val="-2"/>
          <w:kern w:val="1"/>
          <w:sz w:val="22"/>
          <w:szCs w:val="22"/>
        </w:rPr>
        <w:t>:</w:t>
      </w:r>
      <w:r w:rsidR="00956666">
        <w:rPr>
          <w:rFonts w:hint="eastAsia"/>
          <w:b/>
          <w:spacing w:val="-2"/>
          <w:kern w:val="1"/>
          <w:sz w:val="22"/>
          <w:szCs w:val="22"/>
          <w:lang w:eastAsia="ja-JP"/>
        </w:rPr>
        <w:t>Provide</w:t>
      </w:r>
      <w:proofErr w:type="gramEnd"/>
      <w:r w:rsidR="00956666">
        <w:rPr>
          <w:rFonts w:hint="eastAsia"/>
          <w:b/>
          <w:spacing w:val="-2"/>
          <w:kern w:val="1"/>
          <w:sz w:val="22"/>
          <w:szCs w:val="22"/>
          <w:lang w:eastAsia="ja-JP"/>
        </w:rPr>
        <w:t xml:space="preserve"> Status on CPWG/16 Actions</w:t>
      </w:r>
      <w:r w:rsidR="005A29C2" w:rsidRPr="00912FC9">
        <w:rPr>
          <w:b/>
          <w:spacing w:val="-2"/>
          <w:kern w:val="1"/>
          <w:sz w:val="22"/>
          <w:szCs w:val="22"/>
        </w:rPr>
        <w:t xml:space="preserve"> </w:t>
      </w:r>
    </w:p>
    <w:p w:rsidR="00AC23D7" w:rsidRPr="00912FC9" w:rsidRDefault="000B7572" w:rsidP="00ED6D5B">
      <w:pPr>
        <w:pStyle w:val="Title"/>
        <w:jc w:val="left"/>
        <w:rPr>
          <w:b w:val="0"/>
          <w:sz w:val="22"/>
          <w:szCs w:val="22"/>
        </w:rPr>
      </w:pPr>
      <w:r w:rsidRPr="00912FC9">
        <w:rPr>
          <w:b w:val="0"/>
          <w:sz w:val="22"/>
          <w:szCs w:val="22"/>
        </w:rPr>
        <w:t xml:space="preserve"> </w:t>
      </w:r>
    </w:p>
    <w:p w:rsidR="005A29C2" w:rsidRDefault="007A1B3F" w:rsidP="005A29C2">
      <w:pPr>
        <w:pStyle w:val="Title"/>
        <w:outlineLvl w:val="0"/>
        <w:rPr>
          <w:sz w:val="22"/>
          <w:szCs w:val="22"/>
          <w:lang w:eastAsia="ja-JP"/>
        </w:rPr>
      </w:pPr>
      <w:r w:rsidRPr="007A1B3F">
        <w:rPr>
          <w:sz w:val="22"/>
          <w:szCs w:val="22"/>
          <w:lang w:eastAsia="ja-JP"/>
        </w:rPr>
        <w:t>International A</w:t>
      </w:r>
      <w:r w:rsidR="00A54178">
        <w:rPr>
          <w:sz w:val="22"/>
          <w:szCs w:val="22"/>
          <w:lang w:eastAsia="ja-JP"/>
        </w:rPr>
        <w:t xml:space="preserve">ir Traffic Flow Management </w:t>
      </w:r>
      <w:r w:rsidRPr="007A1B3F">
        <w:rPr>
          <w:sz w:val="22"/>
          <w:szCs w:val="22"/>
          <w:lang w:eastAsia="ja-JP"/>
        </w:rPr>
        <w:t>in Japan</w:t>
      </w:r>
    </w:p>
    <w:p w:rsidR="00A72938" w:rsidRPr="00912FC9" w:rsidRDefault="00A72938" w:rsidP="005A29C2">
      <w:pPr>
        <w:pStyle w:val="Title"/>
        <w:outlineLvl w:val="0"/>
        <w:rPr>
          <w:sz w:val="22"/>
          <w:szCs w:val="22"/>
        </w:rPr>
      </w:pPr>
    </w:p>
    <w:p w:rsidR="005A29C2" w:rsidRPr="00912FC9" w:rsidRDefault="00956666" w:rsidP="005A29C2">
      <w:pPr>
        <w:pStyle w:val="Title"/>
        <w:outlineLvl w:val="0"/>
        <w:rPr>
          <w:sz w:val="22"/>
          <w:szCs w:val="22"/>
        </w:rPr>
      </w:pPr>
      <w:r>
        <w:rPr>
          <w:sz w:val="22"/>
          <w:szCs w:val="22"/>
        </w:rPr>
        <w:t xml:space="preserve">(Action Item </w:t>
      </w:r>
      <w:r>
        <w:rPr>
          <w:rFonts w:hint="eastAsia"/>
          <w:sz w:val="22"/>
          <w:szCs w:val="22"/>
          <w:lang w:eastAsia="ja-JP"/>
        </w:rPr>
        <w:t>CP10-08</w:t>
      </w:r>
      <w:r w:rsidR="005A29C2" w:rsidRPr="00912FC9">
        <w:rPr>
          <w:sz w:val="22"/>
          <w:szCs w:val="22"/>
        </w:rPr>
        <w:t xml:space="preserve">) </w:t>
      </w:r>
    </w:p>
    <w:p w:rsidR="005A29C2" w:rsidRPr="00912FC9" w:rsidRDefault="005A29C2" w:rsidP="005A29C2">
      <w:pPr>
        <w:pStyle w:val="Title"/>
        <w:outlineLvl w:val="0"/>
        <w:rPr>
          <w:sz w:val="22"/>
          <w:szCs w:val="22"/>
        </w:rPr>
      </w:pPr>
    </w:p>
    <w:p w:rsidR="005A29C2" w:rsidRPr="00912FC9" w:rsidRDefault="005A29C2" w:rsidP="005A29C2">
      <w:pPr>
        <w:pStyle w:val="Title"/>
        <w:rPr>
          <w:b w:val="0"/>
          <w:sz w:val="22"/>
          <w:szCs w:val="22"/>
        </w:rPr>
      </w:pPr>
      <w:r w:rsidRPr="00912FC9">
        <w:rPr>
          <w:b w:val="0"/>
          <w:sz w:val="22"/>
          <w:szCs w:val="22"/>
        </w:rPr>
        <w:t xml:space="preserve"> (Presented by</w:t>
      </w:r>
      <w:r w:rsidR="007A1B3F">
        <w:rPr>
          <w:rFonts w:hint="eastAsia"/>
          <w:b w:val="0"/>
          <w:sz w:val="22"/>
          <w:szCs w:val="22"/>
          <w:lang w:eastAsia="ja-JP"/>
        </w:rPr>
        <w:t xml:space="preserve"> </w:t>
      </w:r>
      <w:r w:rsidR="00056D42">
        <w:rPr>
          <w:b w:val="0"/>
          <w:sz w:val="22"/>
          <w:szCs w:val="22"/>
          <w:lang w:eastAsia="ja-JP"/>
        </w:rPr>
        <w:t>JAPAN</w:t>
      </w:r>
      <w:bookmarkStart w:id="0" w:name="_GoBack"/>
      <w:bookmarkEnd w:id="0"/>
      <w:r w:rsidRPr="00912FC9">
        <w:rPr>
          <w:b w:val="0"/>
          <w:sz w:val="22"/>
          <w:szCs w:val="22"/>
        </w:rPr>
        <w:t>)</w:t>
      </w:r>
    </w:p>
    <w:p w:rsidR="005A29C2" w:rsidRPr="00912FC9" w:rsidRDefault="005A29C2" w:rsidP="005A29C2">
      <w:pPr>
        <w:rPr>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5A29C2" w:rsidRPr="00E1600F" w:rsidTr="00A72938">
        <w:trPr>
          <w:trHeight w:val="1178"/>
        </w:trPr>
        <w:tc>
          <w:tcPr>
            <w:tcW w:w="8400" w:type="dxa"/>
          </w:tcPr>
          <w:p w:rsidR="005A29C2" w:rsidRPr="00E1600F" w:rsidRDefault="005A29C2" w:rsidP="00D7058B">
            <w:pPr>
              <w:jc w:val="center"/>
              <w:rPr>
                <w:rFonts w:eastAsiaTheme="minorEastAsia"/>
                <w:b/>
                <w:sz w:val="22"/>
                <w:szCs w:val="22"/>
              </w:rPr>
            </w:pPr>
            <w:r w:rsidRPr="00E1600F">
              <w:rPr>
                <w:rFonts w:eastAsiaTheme="minorEastAsia"/>
                <w:b/>
                <w:sz w:val="22"/>
                <w:szCs w:val="22"/>
              </w:rPr>
              <w:t>SUMMARY</w:t>
            </w:r>
          </w:p>
          <w:p w:rsidR="005A29C2" w:rsidRPr="00E1600F" w:rsidRDefault="005A29C2" w:rsidP="00D7058B">
            <w:pPr>
              <w:rPr>
                <w:rFonts w:eastAsiaTheme="minorEastAsia"/>
                <w:sz w:val="22"/>
                <w:szCs w:val="22"/>
              </w:rPr>
            </w:pPr>
          </w:p>
          <w:p w:rsidR="005A29C2" w:rsidRPr="00E1600F" w:rsidRDefault="005A29C2" w:rsidP="00D7058B">
            <w:pPr>
              <w:jc w:val="both"/>
              <w:rPr>
                <w:rFonts w:eastAsiaTheme="minorEastAsia"/>
                <w:sz w:val="22"/>
                <w:szCs w:val="22"/>
                <w:lang w:eastAsia="ja-JP"/>
              </w:rPr>
            </w:pPr>
            <w:r w:rsidRPr="00E1600F">
              <w:rPr>
                <w:rFonts w:eastAsiaTheme="minorEastAsia"/>
                <w:sz w:val="22"/>
                <w:szCs w:val="22"/>
              </w:rPr>
              <w:t xml:space="preserve">This paper presents information </w:t>
            </w:r>
            <w:r w:rsidR="007A1B3F">
              <w:rPr>
                <w:rFonts w:eastAsiaTheme="minorEastAsia" w:hint="eastAsia"/>
                <w:sz w:val="22"/>
                <w:szCs w:val="22"/>
                <w:lang w:eastAsia="ja-JP"/>
              </w:rPr>
              <w:t>of international A</w:t>
            </w:r>
            <w:r w:rsidR="003C7B95">
              <w:rPr>
                <w:rFonts w:eastAsiaTheme="minorEastAsia"/>
                <w:sz w:val="22"/>
                <w:szCs w:val="22"/>
                <w:lang w:eastAsia="ja-JP"/>
              </w:rPr>
              <w:t>ir Traffic Flow Management (A</w:t>
            </w:r>
            <w:r w:rsidR="007A1B3F">
              <w:rPr>
                <w:rFonts w:eastAsiaTheme="minorEastAsia" w:hint="eastAsia"/>
                <w:sz w:val="22"/>
                <w:szCs w:val="22"/>
                <w:lang w:eastAsia="ja-JP"/>
              </w:rPr>
              <w:t>TFM</w:t>
            </w:r>
            <w:r w:rsidR="003C7B95">
              <w:rPr>
                <w:rFonts w:eastAsiaTheme="minorEastAsia"/>
                <w:sz w:val="22"/>
                <w:szCs w:val="22"/>
                <w:lang w:eastAsia="ja-JP"/>
              </w:rPr>
              <w:t>)</w:t>
            </w:r>
            <w:r w:rsidR="007A1B3F">
              <w:rPr>
                <w:rFonts w:eastAsiaTheme="minorEastAsia" w:hint="eastAsia"/>
                <w:sz w:val="22"/>
                <w:szCs w:val="22"/>
                <w:lang w:eastAsia="ja-JP"/>
              </w:rPr>
              <w:t xml:space="preserve"> in Japan.</w:t>
            </w:r>
          </w:p>
        </w:tc>
      </w:tr>
    </w:tbl>
    <w:p w:rsidR="005A29C2" w:rsidRPr="00912FC9" w:rsidRDefault="005A29C2" w:rsidP="005A29C2">
      <w:pPr>
        <w:rPr>
          <w:sz w:val="22"/>
          <w:szCs w:val="22"/>
        </w:rPr>
      </w:pPr>
    </w:p>
    <w:p w:rsidR="005A29C2" w:rsidRDefault="005A29C2" w:rsidP="005A29C2">
      <w:pPr>
        <w:numPr>
          <w:ilvl w:val="0"/>
          <w:numId w:val="2"/>
        </w:numPr>
        <w:tabs>
          <w:tab w:val="clear" w:pos="1080"/>
          <w:tab w:val="num" w:pos="720"/>
        </w:tabs>
        <w:ind w:hanging="1080"/>
        <w:rPr>
          <w:b/>
          <w:sz w:val="22"/>
          <w:szCs w:val="22"/>
        </w:rPr>
      </w:pPr>
      <w:r w:rsidRPr="00912FC9">
        <w:rPr>
          <w:b/>
          <w:sz w:val="22"/>
          <w:szCs w:val="22"/>
        </w:rPr>
        <w:t xml:space="preserve">Introduction  </w:t>
      </w:r>
    </w:p>
    <w:p w:rsidR="00A72938" w:rsidRPr="00912FC9" w:rsidRDefault="00A72938" w:rsidP="00A72938">
      <w:pPr>
        <w:numPr>
          <w:ilvl w:val="2"/>
          <w:numId w:val="2"/>
        </w:numPr>
        <w:ind w:left="1080" w:hanging="1080"/>
        <w:rPr>
          <w:b/>
          <w:sz w:val="22"/>
          <w:szCs w:val="22"/>
        </w:rPr>
      </w:pPr>
    </w:p>
    <w:p w:rsidR="00A65D52" w:rsidRDefault="00A65D52" w:rsidP="00A65D52">
      <w:pPr>
        <w:numPr>
          <w:ilvl w:val="0"/>
          <w:numId w:val="11"/>
        </w:numPr>
        <w:ind w:left="0" w:firstLine="0"/>
        <w:rPr>
          <w:sz w:val="22"/>
          <w:szCs w:val="22"/>
          <w:lang w:eastAsia="ja-JP"/>
        </w:rPr>
      </w:pPr>
      <w:r w:rsidRPr="00A65D52">
        <w:rPr>
          <w:sz w:val="22"/>
          <w:szCs w:val="22"/>
          <w:lang w:eastAsia="ja-JP"/>
        </w:rPr>
        <w:t xml:space="preserve">Air Traffic Flow Management and Collaborative Decision Making </w:t>
      </w:r>
      <w:r>
        <w:rPr>
          <w:rFonts w:hint="eastAsia"/>
          <w:sz w:val="22"/>
          <w:szCs w:val="22"/>
          <w:lang w:eastAsia="ja-JP"/>
        </w:rPr>
        <w:t>(</w:t>
      </w:r>
      <w:r w:rsidRPr="00A65D52">
        <w:rPr>
          <w:sz w:val="22"/>
          <w:szCs w:val="22"/>
          <w:lang w:eastAsia="ja-JP"/>
        </w:rPr>
        <w:t>ATFM/CDM</w:t>
      </w:r>
      <w:r>
        <w:rPr>
          <w:rFonts w:hint="eastAsia"/>
          <w:sz w:val="22"/>
          <w:szCs w:val="22"/>
          <w:lang w:eastAsia="ja-JP"/>
        </w:rPr>
        <w:t>)</w:t>
      </w:r>
      <w:r w:rsidRPr="00A65D52">
        <w:rPr>
          <w:sz w:val="22"/>
          <w:szCs w:val="22"/>
          <w:lang w:eastAsia="ja-JP"/>
        </w:rPr>
        <w:t xml:space="preserve"> is one of ICAO’s highest priorities according to Global Air Navigation Plan (GANP) and ICAO Annex 11, Air Traffic Services recommended that “ATFM should be implemented on the basis of regional air navigation agreements or, if appropriate, th</w:t>
      </w:r>
      <w:r w:rsidR="003C7B95">
        <w:rPr>
          <w:sz w:val="22"/>
          <w:szCs w:val="22"/>
          <w:lang w:eastAsia="ja-JP"/>
        </w:rPr>
        <w:t>rough multilateral agreements.”</w:t>
      </w:r>
    </w:p>
    <w:p w:rsidR="00A65D52" w:rsidRPr="00A65D52" w:rsidRDefault="00A65D52" w:rsidP="00A65D52">
      <w:pPr>
        <w:rPr>
          <w:sz w:val="22"/>
          <w:szCs w:val="22"/>
          <w:lang w:eastAsia="ja-JP"/>
        </w:rPr>
      </w:pPr>
    </w:p>
    <w:p w:rsidR="005A29C2" w:rsidRDefault="00A65D52" w:rsidP="00A65D52">
      <w:pPr>
        <w:numPr>
          <w:ilvl w:val="0"/>
          <w:numId w:val="11"/>
        </w:numPr>
        <w:ind w:left="0" w:firstLine="0"/>
        <w:rPr>
          <w:sz w:val="22"/>
          <w:szCs w:val="22"/>
          <w:lang w:eastAsia="ja-JP"/>
        </w:rPr>
      </w:pPr>
      <w:r>
        <w:rPr>
          <w:sz w:val="22"/>
          <w:szCs w:val="22"/>
          <w:lang w:eastAsia="ja-JP"/>
        </w:rPr>
        <w:t>ATFM/CDM</w:t>
      </w:r>
      <w:r w:rsidRPr="00A65D52">
        <w:rPr>
          <w:sz w:val="22"/>
          <w:szCs w:val="22"/>
          <w:lang w:eastAsia="ja-JP"/>
        </w:rPr>
        <w:t xml:space="preserve"> contributes to enhancing safety, efficiency, cost effectiveness and environmental sustainability of Air Traffic Management (ATM). Current air traffic situation signals the needs to introduce a harmonized ATFM</w:t>
      </w:r>
      <w:r>
        <w:rPr>
          <w:sz w:val="22"/>
          <w:szCs w:val="22"/>
          <w:lang w:eastAsia="ja-JP"/>
        </w:rPr>
        <w:t>/CDM operation within</w:t>
      </w:r>
      <w:r w:rsidRPr="00A65D52">
        <w:rPr>
          <w:sz w:val="22"/>
          <w:szCs w:val="22"/>
          <w:lang w:eastAsia="ja-JP"/>
        </w:rPr>
        <w:t xml:space="preserve"> </w:t>
      </w:r>
      <w:r>
        <w:rPr>
          <w:rFonts w:hint="eastAsia"/>
          <w:sz w:val="22"/>
          <w:szCs w:val="22"/>
          <w:lang w:eastAsia="ja-JP"/>
        </w:rPr>
        <w:t xml:space="preserve">South East </w:t>
      </w:r>
      <w:r w:rsidR="00A46E98">
        <w:rPr>
          <w:rFonts w:hint="eastAsia"/>
          <w:sz w:val="22"/>
          <w:szCs w:val="22"/>
          <w:lang w:eastAsia="ja-JP"/>
        </w:rPr>
        <w:t xml:space="preserve">Asia </w:t>
      </w:r>
      <w:r>
        <w:rPr>
          <w:rFonts w:hint="eastAsia"/>
          <w:sz w:val="22"/>
          <w:szCs w:val="22"/>
          <w:lang w:eastAsia="ja-JP"/>
        </w:rPr>
        <w:t xml:space="preserve">and North </w:t>
      </w:r>
      <w:r w:rsidR="00A46E98">
        <w:rPr>
          <w:rFonts w:hint="eastAsia"/>
          <w:sz w:val="22"/>
          <w:szCs w:val="22"/>
          <w:lang w:eastAsia="ja-JP"/>
        </w:rPr>
        <w:t xml:space="preserve">East </w:t>
      </w:r>
      <w:r w:rsidRPr="00A65D52">
        <w:rPr>
          <w:sz w:val="22"/>
          <w:szCs w:val="22"/>
          <w:lang w:eastAsia="ja-JP"/>
        </w:rPr>
        <w:t>Asia. These conditions include the fact that traffic volume has been increasing rapidly in the APAC reg</w:t>
      </w:r>
      <w:r>
        <w:rPr>
          <w:sz w:val="22"/>
          <w:szCs w:val="22"/>
          <w:lang w:eastAsia="ja-JP"/>
        </w:rPr>
        <w:t>ion</w:t>
      </w:r>
      <w:r>
        <w:rPr>
          <w:rFonts w:hint="eastAsia"/>
          <w:sz w:val="22"/>
          <w:szCs w:val="22"/>
          <w:lang w:eastAsia="ja-JP"/>
        </w:rPr>
        <w:t>.</w:t>
      </w:r>
    </w:p>
    <w:p w:rsidR="00A65D52" w:rsidRDefault="00A65D52" w:rsidP="00A65D52">
      <w:pPr>
        <w:rPr>
          <w:sz w:val="22"/>
          <w:szCs w:val="22"/>
          <w:lang w:eastAsia="ja-JP"/>
        </w:rPr>
      </w:pPr>
    </w:p>
    <w:p w:rsidR="00A65D52" w:rsidRPr="00912FC9" w:rsidRDefault="00A65D52" w:rsidP="00A65D52">
      <w:pPr>
        <w:numPr>
          <w:ilvl w:val="0"/>
          <w:numId w:val="11"/>
        </w:numPr>
        <w:ind w:left="0" w:firstLine="0"/>
        <w:rPr>
          <w:sz w:val="22"/>
          <w:szCs w:val="22"/>
          <w:lang w:eastAsia="ja-JP"/>
        </w:rPr>
      </w:pPr>
      <w:r w:rsidRPr="00A65D52">
        <w:rPr>
          <w:sz w:val="22"/>
          <w:szCs w:val="22"/>
          <w:lang w:eastAsia="ja-JP"/>
        </w:rPr>
        <w:t>This paper presents current status of International ATFM in Japan</w:t>
      </w:r>
      <w:r w:rsidR="00A46E98">
        <w:rPr>
          <w:rFonts w:hint="eastAsia"/>
          <w:sz w:val="22"/>
          <w:szCs w:val="22"/>
          <w:lang w:eastAsia="ja-JP"/>
        </w:rPr>
        <w:t xml:space="preserve"> where located in North East Asia</w:t>
      </w:r>
      <w:r w:rsidRPr="00A65D52">
        <w:rPr>
          <w:sz w:val="22"/>
          <w:szCs w:val="22"/>
          <w:lang w:eastAsia="ja-JP"/>
        </w:rPr>
        <w:t>.</w:t>
      </w:r>
    </w:p>
    <w:p w:rsidR="00B879A3" w:rsidRPr="00860AA1" w:rsidRDefault="00B879A3" w:rsidP="00A72938">
      <w:pPr>
        <w:rPr>
          <w:sz w:val="22"/>
          <w:szCs w:val="22"/>
          <w:lang w:eastAsia="ja-JP"/>
        </w:rPr>
      </w:pPr>
    </w:p>
    <w:p w:rsidR="005A29C2" w:rsidRPr="00A65D52" w:rsidRDefault="005A29C2" w:rsidP="00A65D52">
      <w:pPr>
        <w:numPr>
          <w:ilvl w:val="0"/>
          <w:numId w:val="2"/>
        </w:numPr>
        <w:tabs>
          <w:tab w:val="clear" w:pos="1080"/>
          <w:tab w:val="num" w:pos="720"/>
        </w:tabs>
        <w:ind w:hanging="1080"/>
        <w:rPr>
          <w:b/>
          <w:sz w:val="22"/>
          <w:szCs w:val="22"/>
        </w:rPr>
      </w:pPr>
      <w:r w:rsidRPr="00912FC9">
        <w:rPr>
          <w:b/>
          <w:sz w:val="22"/>
          <w:szCs w:val="22"/>
        </w:rPr>
        <w:t>Discussion</w:t>
      </w:r>
    </w:p>
    <w:p w:rsidR="00B879A3" w:rsidRPr="00912FC9" w:rsidRDefault="00B879A3" w:rsidP="00A72938">
      <w:pPr>
        <w:tabs>
          <w:tab w:val="left" w:pos="0"/>
          <w:tab w:val="left" w:pos="720"/>
        </w:tabs>
        <w:rPr>
          <w:sz w:val="22"/>
          <w:szCs w:val="22"/>
        </w:rPr>
      </w:pPr>
    </w:p>
    <w:p w:rsidR="00A65D52" w:rsidRDefault="007A1B3F" w:rsidP="00A72938">
      <w:pPr>
        <w:numPr>
          <w:ilvl w:val="0"/>
          <w:numId w:val="12"/>
        </w:numPr>
        <w:tabs>
          <w:tab w:val="left" w:pos="0"/>
          <w:tab w:val="left" w:pos="720"/>
        </w:tabs>
        <w:ind w:left="0" w:firstLine="0"/>
        <w:rPr>
          <w:sz w:val="22"/>
          <w:szCs w:val="22"/>
        </w:rPr>
      </w:pPr>
      <w:r w:rsidRPr="007A1B3F">
        <w:rPr>
          <w:sz w:val="22"/>
          <w:szCs w:val="22"/>
        </w:rPr>
        <w:t xml:space="preserve">International ATFM enables to maximize efficiency and effectiveness. It contributes to the safety and reduction of aviation-related greenhouse gas emissions. ATFM Centers provide their own service collaborating with stakeholders in area of their responsibility. </w:t>
      </w:r>
    </w:p>
    <w:p w:rsidR="00A65D52" w:rsidRDefault="00A65D52" w:rsidP="00A65D52">
      <w:pPr>
        <w:tabs>
          <w:tab w:val="left" w:pos="0"/>
          <w:tab w:val="left" w:pos="720"/>
        </w:tabs>
        <w:rPr>
          <w:sz w:val="22"/>
          <w:szCs w:val="22"/>
        </w:rPr>
      </w:pPr>
    </w:p>
    <w:p w:rsidR="007A1B3F" w:rsidRDefault="007A1B3F" w:rsidP="00A72938">
      <w:pPr>
        <w:numPr>
          <w:ilvl w:val="0"/>
          <w:numId w:val="12"/>
        </w:numPr>
        <w:tabs>
          <w:tab w:val="left" w:pos="0"/>
          <w:tab w:val="left" w:pos="720"/>
        </w:tabs>
        <w:ind w:left="0" w:firstLine="0"/>
        <w:rPr>
          <w:sz w:val="22"/>
          <w:szCs w:val="22"/>
        </w:rPr>
      </w:pPr>
      <w:r w:rsidRPr="007A1B3F">
        <w:rPr>
          <w:sz w:val="22"/>
          <w:szCs w:val="22"/>
        </w:rPr>
        <w:t>However, in some cases, sufficient effectiveness may not be achieved with conducting ATFM measures by single ATFM Center</w:t>
      </w:r>
      <w:r w:rsidR="00A46E98">
        <w:rPr>
          <w:rFonts w:hint="eastAsia"/>
          <w:sz w:val="22"/>
          <w:szCs w:val="22"/>
          <w:lang w:eastAsia="ja-JP"/>
        </w:rPr>
        <w:t xml:space="preserve"> or Area Control Center</w:t>
      </w:r>
      <w:r w:rsidRPr="007A1B3F">
        <w:rPr>
          <w:sz w:val="22"/>
          <w:szCs w:val="22"/>
        </w:rPr>
        <w:t>. Collaborative International ATFM is essential fo</w:t>
      </w:r>
      <w:r w:rsidR="003C7B95">
        <w:rPr>
          <w:sz w:val="22"/>
          <w:szCs w:val="22"/>
        </w:rPr>
        <w:t>r such situations. For example:</w:t>
      </w:r>
    </w:p>
    <w:p w:rsidR="003C7B95" w:rsidRDefault="003C7B95" w:rsidP="003C7B95">
      <w:pPr>
        <w:pStyle w:val="ListParagraph"/>
        <w:rPr>
          <w:sz w:val="22"/>
          <w:szCs w:val="22"/>
        </w:rPr>
      </w:pPr>
    </w:p>
    <w:p w:rsidR="007A1B3F" w:rsidRDefault="007A1B3F" w:rsidP="00956666">
      <w:pPr>
        <w:tabs>
          <w:tab w:val="left" w:pos="0"/>
          <w:tab w:val="left" w:pos="720"/>
        </w:tabs>
        <w:ind w:left="360"/>
        <w:rPr>
          <w:sz w:val="22"/>
          <w:szCs w:val="22"/>
        </w:rPr>
      </w:pPr>
      <w:r>
        <w:rPr>
          <w:rFonts w:hint="eastAsia"/>
          <w:sz w:val="22"/>
          <w:szCs w:val="22"/>
          <w:lang w:eastAsia="ja-JP"/>
        </w:rPr>
        <w:tab/>
      </w:r>
      <w:r>
        <w:rPr>
          <w:rFonts w:hint="eastAsia"/>
          <w:sz w:val="22"/>
          <w:szCs w:val="22"/>
          <w:lang w:eastAsia="ja-JP"/>
        </w:rPr>
        <w:tab/>
      </w:r>
      <w:r w:rsidR="00956666">
        <w:rPr>
          <w:rFonts w:hint="eastAsia"/>
          <w:sz w:val="22"/>
          <w:szCs w:val="22"/>
          <w:lang w:eastAsia="ja-JP"/>
        </w:rPr>
        <w:t>(</w:t>
      </w:r>
      <w:r w:rsidRPr="007A1B3F">
        <w:rPr>
          <w:sz w:val="22"/>
          <w:szCs w:val="22"/>
        </w:rPr>
        <w:t xml:space="preserve">a) The Airport or Airspace that have much international flights; </w:t>
      </w:r>
    </w:p>
    <w:p w:rsidR="007A1B3F" w:rsidRDefault="00956666" w:rsidP="00956666">
      <w:pPr>
        <w:tabs>
          <w:tab w:val="left" w:pos="0"/>
          <w:tab w:val="left" w:pos="720"/>
        </w:tabs>
        <w:ind w:left="360"/>
        <w:rPr>
          <w:sz w:val="22"/>
          <w:szCs w:val="22"/>
          <w:lang w:eastAsia="ja-JP"/>
        </w:rPr>
      </w:pPr>
      <w:r>
        <w:rPr>
          <w:rFonts w:hint="eastAsia"/>
          <w:sz w:val="22"/>
          <w:szCs w:val="22"/>
          <w:lang w:eastAsia="ja-JP"/>
        </w:rPr>
        <w:tab/>
      </w:r>
      <w:r>
        <w:rPr>
          <w:rFonts w:hint="eastAsia"/>
          <w:sz w:val="22"/>
          <w:szCs w:val="22"/>
          <w:lang w:eastAsia="ja-JP"/>
        </w:rPr>
        <w:tab/>
        <w:t>(</w:t>
      </w:r>
      <w:r w:rsidR="007A1B3F" w:rsidRPr="007A1B3F">
        <w:rPr>
          <w:sz w:val="22"/>
          <w:szCs w:val="22"/>
        </w:rPr>
        <w:t xml:space="preserve">b) The Airport or Airspace that meet the significant bad weather conditions. </w:t>
      </w:r>
    </w:p>
    <w:p w:rsidR="007A1B3F" w:rsidRDefault="007A1B3F" w:rsidP="007A1B3F">
      <w:pPr>
        <w:tabs>
          <w:tab w:val="left" w:pos="0"/>
          <w:tab w:val="left" w:pos="720"/>
        </w:tabs>
        <w:rPr>
          <w:sz w:val="22"/>
          <w:szCs w:val="22"/>
          <w:lang w:eastAsia="ja-JP"/>
        </w:rPr>
      </w:pPr>
    </w:p>
    <w:p w:rsidR="00A65D52" w:rsidRDefault="007A1B3F" w:rsidP="00A65D52">
      <w:pPr>
        <w:numPr>
          <w:ilvl w:val="0"/>
          <w:numId w:val="12"/>
        </w:numPr>
        <w:tabs>
          <w:tab w:val="left" w:pos="0"/>
          <w:tab w:val="left" w:pos="720"/>
        </w:tabs>
        <w:ind w:left="0" w:firstLine="0"/>
        <w:rPr>
          <w:sz w:val="22"/>
          <w:szCs w:val="22"/>
        </w:rPr>
      </w:pPr>
      <w:r w:rsidRPr="007A1B3F">
        <w:rPr>
          <w:sz w:val="22"/>
          <w:szCs w:val="22"/>
        </w:rPr>
        <w:t>JCAB has worked to mitigate the issues</w:t>
      </w:r>
      <w:r w:rsidR="00A46E98">
        <w:rPr>
          <w:sz w:val="22"/>
          <w:szCs w:val="22"/>
        </w:rPr>
        <w:t xml:space="preserve"> collaborative</w:t>
      </w:r>
      <w:r w:rsidR="003C7B95">
        <w:rPr>
          <w:sz w:val="22"/>
          <w:szCs w:val="22"/>
        </w:rPr>
        <w:t>ly</w:t>
      </w:r>
      <w:r w:rsidR="00A46E98">
        <w:rPr>
          <w:sz w:val="22"/>
          <w:szCs w:val="22"/>
        </w:rPr>
        <w:t xml:space="preserve"> with neighboring</w:t>
      </w:r>
      <w:r w:rsidR="00A46E98">
        <w:rPr>
          <w:rFonts w:hint="eastAsia"/>
          <w:sz w:val="22"/>
          <w:szCs w:val="22"/>
          <w:lang w:eastAsia="ja-JP"/>
        </w:rPr>
        <w:t xml:space="preserve"> s</w:t>
      </w:r>
      <w:r w:rsidRPr="007A1B3F">
        <w:rPr>
          <w:sz w:val="22"/>
          <w:szCs w:val="22"/>
        </w:rPr>
        <w:t>tates. Th</w:t>
      </w:r>
      <w:r w:rsidR="00A65D52">
        <w:rPr>
          <w:rFonts w:hint="eastAsia"/>
          <w:sz w:val="22"/>
          <w:szCs w:val="22"/>
          <w:lang w:eastAsia="ja-JP"/>
        </w:rPr>
        <w:t xml:space="preserve">e </w:t>
      </w:r>
      <w:r w:rsidRPr="007A1B3F">
        <w:rPr>
          <w:sz w:val="22"/>
          <w:szCs w:val="22"/>
        </w:rPr>
        <w:t>current status of International ATFM in Japan</w:t>
      </w:r>
      <w:r w:rsidR="00A65D52">
        <w:rPr>
          <w:rFonts w:hint="eastAsia"/>
          <w:sz w:val="22"/>
          <w:szCs w:val="22"/>
          <w:lang w:eastAsia="ja-JP"/>
        </w:rPr>
        <w:t xml:space="preserve"> as follows</w:t>
      </w:r>
      <w:r w:rsidRPr="007A1B3F">
        <w:rPr>
          <w:sz w:val="22"/>
          <w:szCs w:val="22"/>
        </w:rPr>
        <w:t>.</w:t>
      </w:r>
    </w:p>
    <w:p w:rsidR="00A65D52" w:rsidRPr="00A65D52" w:rsidRDefault="00A65D52" w:rsidP="00A65D52">
      <w:pPr>
        <w:tabs>
          <w:tab w:val="left" w:pos="0"/>
          <w:tab w:val="left" w:pos="720"/>
        </w:tabs>
        <w:rPr>
          <w:sz w:val="22"/>
          <w:szCs w:val="22"/>
        </w:rPr>
      </w:pPr>
      <w:r w:rsidRPr="00A65D52">
        <w:t xml:space="preserve"> </w:t>
      </w:r>
    </w:p>
    <w:p w:rsidR="00A65D52" w:rsidRDefault="00A65D52" w:rsidP="00A65D52">
      <w:pPr>
        <w:numPr>
          <w:ilvl w:val="0"/>
          <w:numId w:val="12"/>
        </w:numPr>
        <w:tabs>
          <w:tab w:val="left" w:pos="0"/>
          <w:tab w:val="left" w:pos="720"/>
        </w:tabs>
        <w:ind w:left="0" w:firstLine="0"/>
        <w:rPr>
          <w:sz w:val="22"/>
          <w:szCs w:val="22"/>
        </w:rPr>
      </w:pPr>
      <w:r w:rsidRPr="00A65D52">
        <w:rPr>
          <w:sz w:val="22"/>
          <w:szCs w:val="22"/>
        </w:rPr>
        <w:lastRenderedPageBreak/>
        <w:t xml:space="preserve">JCAB has started international ATFM on January 2007, based on bilateral agreement between Japan and South Korea (Republic of Korea), Japan and Taiwan (Republic of China). </w:t>
      </w:r>
    </w:p>
    <w:p w:rsidR="00A65D52" w:rsidRPr="00A65D52" w:rsidRDefault="00A65D52" w:rsidP="00A65D52">
      <w:pPr>
        <w:tabs>
          <w:tab w:val="left" w:pos="0"/>
          <w:tab w:val="left" w:pos="720"/>
        </w:tabs>
        <w:rPr>
          <w:sz w:val="22"/>
          <w:szCs w:val="22"/>
        </w:rPr>
      </w:pPr>
    </w:p>
    <w:p w:rsidR="00A65D52" w:rsidRPr="00A65D52" w:rsidRDefault="00A65D52" w:rsidP="003C7B95">
      <w:pPr>
        <w:tabs>
          <w:tab w:val="left" w:pos="0"/>
          <w:tab w:val="left" w:pos="720"/>
        </w:tabs>
        <w:ind w:left="720" w:hanging="360"/>
        <w:rPr>
          <w:sz w:val="22"/>
          <w:szCs w:val="22"/>
        </w:rPr>
      </w:pPr>
      <w:r w:rsidRPr="00A65D52">
        <w:rPr>
          <w:sz w:val="22"/>
          <w:szCs w:val="22"/>
        </w:rPr>
        <w:tab/>
        <w:t>Both facilities had introduced procedu</w:t>
      </w:r>
      <w:r w:rsidR="003C7B95">
        <w:rPr>
          <w:sz w:val="22"/>
          <w:szCs w:val="22"/>
        </w:rPr>
        <w:t>res according to the policy of the Letters of Agreement (L</w:t>
      </w:r>
      <w:r w:rsidRPr="00A65D52">
        <w:rPr>
          <w:sz w:val="22"/>
          <w:szCs w:val="22"/>
        </w:rPr>
        <w:t>OA</w:t>
      </w:r>
      <w:r w:rsidR="003C7B95">
        <w:rPr>
          <w:sz w:val="22"/>
          <w:szCs w:val="22"/>
        </w:rPr>
        <w:t>):</w:t>
      </w:r>
    </w:p>
    <w:p w:rsidR="00A65D52" w:rsidRPr="00A65D52" w:rsidRDefault="00A65D52" w:rsidP="00A65D52">
      <w:pPr>
        <w:tabs>
          <w:tab w:val="left" w:pos="0"/>
          <w:tab w:val="left" w:pos="720"/>
        </w:tabs>
        <w:ind w:left="360"/>
        <w:rPr>
          <w:sz w:val="22"/>
          <w:szCs w:val="22"/>
        </w:rPr>
      </w:pPr>
      <w:r>
        <w:rPr>
          <w:sz w:val="22"/>
          <w:szCs w:val="22"/>
        </w:rPr>
        <w:tab/>
      </w:r>
      <w:r>
        <w:rPr>
          <w:sz w:val="22"/>
          <w:szCs w:val="22"/>
        </w:rPr>
        <w:tab/>
      </w:r>
      <w:r w:rsidRPr="00A65D52">
        <w:rPr>
          <w:sz w:val="22"/>
          <w:szCs w:val="22"/>
        </w:rPr>
        <w:t xml:space="preserve">(a) </w:t>
      </w:r>
      <w:proofErr w:type="gramStart"/>
      <w:r w:rsidRPr="00A65D52">
        <w:rPr>
          <w:sz w:val="22"/>
          <w:szCs w:val="22"/>
        </w:rPr>
        <w:t>to</w:t>
      </w:r>
      <w:proofErr w:type="gramEnd"/>
      <w:r w:rsidRPr="00A65D52">
        <w:rPr>
          <w:sz w:val="22"/>
          <w:szCs w:val="22"/>
        </w:rPr>
        <w:t xml:space="preserve"> maximize ATC capacity to the full extent</w:t>
      </w:r>
    </w:p>
    <w:p w:rsidR="00A65D52" w:rsidRPr="00A65D52" w:rsidRDefault="00A65D52" w:rsidP="00A65D52">
      <w:pPr>
        <w:tabs>
          <w:tab w:val="left" w:pos="0"/>
          <w:tab w:val="left" w:pos="720"/>
        </w:tabs>
        <w:ind w:left="360"/>
        <w:rPr>
          <w:sz w:val="22"/>
          <w:szCs w:val="22"/>
        </w:rPr>
      </w:pPr>
      <w:r>
        <w:rPr>
          <w:rFonts w:hint="eastAsia"/>
          <w:sz w:val="22"/>
          <w:szCs w:val="22"/>
          <w:lang w:eastAsia="ja-JP"/>
        </w:rPr>
        <w:tab/>
      </w:r>
      <w:r>
        <w:rPr>
          <w:sz w:val="22"/>
          <w:szCs w:val="22"/>
        </w:rPr>
        <w:tab/>
      </w:r>
      <w:r w:rsidRPr="00A65D52">
        <w:rPr>
          <w:sz w:val="22"/>
          <w:szCs w:val="22"/>
        </w:rPr>
        <w:t xml:space="preserve">(b) </w:t>
      </w:r>
      <w:proofErr w:type="gramStart"/>
      <w:r w:rsidRPr="00A65D52">
        <w:rPr>
          <w:sz w:val="22"/>
          <w:szCs w:val="22"/>
        </w:rPr>
        <w:t>to</w:t>
      </w:r>
      <w:proofErr w:type="gramEnd"/>
      <w:r w:rsidRPr="00A65D52">
        <w:rPr>
          <w:sz w:val="22"/>
          <w:szCs w:val="22"/>
        </w:rPr>
        <w:t xml:space="preserve"> minimize restrictions as far as possible</w:t>
      </w:r>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 xml:space="preserve">(c) </w:t>
      </w:r>
      <w:proofErr w:type="gramStart"/>
      <w:r w:rsidRPr="00A65D52">
        <w:rPr>
          <w:sz w:val="22"/>
          <w:szCs w:val="22"/>
        </w:rPr>
        <w:t>not</w:t>
      </w:r>
      <w:proofErr w:type="gramEnd"/>
      <w:r w:rsidRPr="00A65D52">
        <w:rPr>
          <w:sz w:val="22"/>
          <w:szCs w:val="22"/>
        </w:rPr>
        <w:t xml:space="preserve"> to allow applying easy and frequent traffic adjustment</w:t>
      </w:r>
    </w:p>
    <w:p w:rsidR="003C7B95" w:rsidRDefault="00A65D52" w:rsidP="00A46E98">
      <w:pPr>
        <w:tabs>
          <w:tab w:val="left" w:pos="0"/>
          <w:tab w:val="left" w:pos="720"/>
        </w:tabs>
        <w:rPr>
          <w:sz w:val="22"/>
          <w:szCs w:val="22"/>
        </w:rPr>
      </w:pPr>
      <w:r w:rsidRPr="00A65D52">
        <w:rPr>
          <w:sz w:val="22"/>
          <w:szCs w:val="22"/>
        </w:rPr>
        <w:tab/>
      </w:r>
    </w:p>
    <w:p w:rsidR="00A65D52" w:rsidRPr="00A65D52" w:rsidRDefault="00A65D52" w:rsidP="003C7B95">
      <w:pPr>
        <w:tabs>
          <w:tab w:val="left" w:pos="0"/>
          <w:tab w:val="left" w:pos="720"/>
        </w:tabs>
        <w:ind w:left="720"/>
        <w:rPr>
          <w:sz w:val="22"/>
          <w:szCs w:val="22"/>
        </w:rPr>
      </w:pPr>
      <w:r w:rsidRPr="00A65D52">
        <w:rPr>
          <w:sz w:val="22"/>
          <w:szCs w:val="22"/>
        </w:rPr>
        <w:t>Both facilities implement flow control when</w:t>
      </w:r>
      <w:r w:rsidR="003C7B95">
        <w:rPr>
          <w:sz w:val="22"/>
          <w:szCs w:val="22"/>
        </w:rPr>
        <w:t>:</w:t>
      </w:r>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 xml:space="preserve">(a) </w:t>
      </w:r>
      <w:proofErr w:type="gramStart"/>
      <w:r w:rsidRPr="00A65D52">
        <w:rPr>
          <w:sz w:val="22"/>
          <w:szCs w:val="22"/>
        </w:rPr>
        <w:t>excessive</w:t>
      </w:r>
      <w:proofErr w:type="gramEnd"/>
      <w:r w:rsidRPr="00A65D52">
        <w:rPr>
          <w:sz w:val="22"/>
          <w:szCs w:val="22"/>
        </w:rPr>
        <w:t xml:space="preserve"> airborne holdings arise or are predicted</w:t>
      </w:r>
    </w:p>
    <w:p w:rsid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 xml:space="preserve">(b) </w:t>
      </w:r>
      <w:proofErr w:type="gramStart"/>
      <w:r w:rsidRPr="00A65D52">
        <w:rPr>
          <w:sz w:val="22"/>
          <w:szCs w:val="22"/>
        </w:rPr>
        <w:t>necessary</w:t>
      </w:r>
      <w:proofErr w:type="gramEnd"/>
      <w:r w:rsidRPr="00A65D52">
        <w:rPr>
          <w:sz w:val="22"/>
          <w:szCs w:val="22"/>
        </w:rPr>
        <w:t xml:space="preserve"> to ensure the safety of aircraft operations</w:t>
      </w:r>
    </w:p>
    <w:p w:rsidR="003C7B95" w:rsidRPr="00A65D52" w:rsidRDefault="003C7B95" w:rsidP="00A65D52">
      <w:pPr>
        <w:tabs>
          <w:tab w:val="left" w:pos="0"/>
          <w:tab w:val="left" w:pos="720"/>
        </w:tabs>
        <w:rPr>
          <w:sz w:val="22"/>
          <w:szCs w:val="22"/>
        </w:rPr>
      </w:pPr>
    </w:p>
    <w:p w:rsidR="00A65D52" w:rsidRPr="00A65D52" w:rsidRDefault="00A65D52" w:rsidP="00A46E98">
      <w:pPr>
        <w:tabs>
          <w:tab w:val="left" w:pos="0"/>
          <w:tab w:val="left" w:pos="720"/>
        </w:tabs>
        <w:rPr>
          <w:sz w:val="22"/>
          <w:szCs w:val="22"/>
        </w:rPr>
      </w:pPr>
      <w:r w:rsidRPr="00A65D52">
        <w:rPr>
          <w:sz w:val="22"/>
          <w:szCs w:val="22"/>
        </w:rPr>
        <w:tab/>
        <w:t xml:space="preserve">In the event </w:t>
      </w:r>
      <w:proofErr w:type="gramStart"/>
      <w:r w:rsidRPr="00A65D52">
        <w:rPr>
          <w:sz w:val="22"/>
          <w:szCs w:val="22"/>
        </w:rPr>
        <w:t xml:space="preserve">of </w:t>
      </w:r>
      <w:r w:rsidR="003C7B95">
        <w:rPr>
          <w:sz w:val="22"/>
          <w:szCs w:val="22"/>
        </w:rPr>
        <w:t>:</w:t>
      </w:r>
      <w:proofErr w:type="gramEnd"/>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(a) Capacity falls at defined international airports</w:t>
      </w:r>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(b) Malfunction of ATC systems</w:t>
      </w:r>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(c) Flow control restrictions from other foreign ATC or ATFM facility</w:t>
      </w:r>
    </w:p>
    <w:p w:rsidR="00A65D52" w:rsidRPr="00A65D52" w:rsidRDefault="00A65D52" w:rsidP="00A65D52">
      <w:pPr>
        <w:tabs>
          <w:tab w:val="left" w:pos="0"/>
          <w:tab w:val="left" w:pos="720"/>
        </w:tabs>
        <w:rPr>
          <w:sz w:val="22"/>
          <w:szCs w:val="22"/>
        </w:rPr>
      </w:pPr>
      <w:r>
        <w:rPr>
          <w:rFonts w:hint="eastAsia"/>
          <w:sz w:val="22"/>
          <w:szCs w:val="22"/>
          <w:lang w:eastAsia="ja-JP"/>
        </w:rPr>
        <w:tab/>
      </w:r>
      <w:r>
        <w:rPr>
          <w:rFonts w:hint="eastAsia"/>
          <w:sz w:val="22"/>
          <w:szCs w:val="22"/>
          <w:lang w:eastAsia="ja-JP"/>
        </w:rPr>
        <w:tab/>
      </w:r>
      <w:r w:rsidRPr="00A65D52">
        <w:rPr>
          <w:sz w:val="22"/>
          <w:szCs w:val="22"/>
        </w:rPr>
        <w:t>(d) Other adverse effects on international traffic flow</w:t>
      </w:r>
    </w:p>
    <w:p w:rsidR="00A65D52" w:rsidRPr="00A65D52" w:rsidRDefault="00A65D52" w:rsidP="00A65D52">
      <w:pPr>
        <w:tabs>
          <w:tab w:val="left" w:pos="0"/>
          <w:tab w:val="left" w:pos="720"/>
        </w:tabs>
        <w:rPr>
          <w:sz w:val="22"/>
          <w:szCs w:val="22"/>
        </w:rPr>
      </w:pPr>
    </w:p>
    <w:p w:rsidR="00A65D52" w:rsidRDefault="00A65D52" w:rsidP="00A65D52">
      <w:pPr>
        <w:numPr>
          <w:ilvl w:val="0"/>
          <w:numId w:val="12"/>
        </w:numPr>
        <w:tabs>
          <w:tab w:val="left" w:pos="0"/>
          <w:tab w:val="left" w:pos="720"/>
        </w:tabs>
        <w:ind w:left="0" w:firstLine="0"/>
        <w:rPr>
          <w:sz w:val="22"/>
          <w:szCs w:val="22"/>
        </w:rPr>
      </w:pPr>
      <w:r w:rsidRPr="00A65D52">
        <w:rPr>
          <w:sz w:val="22"/>
          <w:szCs w:val="22"/>
        </w:rPr>
        <w:t>As the fundamental principles of ATM, every state has a responsibility on a substantial increase in the capacity of airport and airspace towards the traffic growth, and moreover, ATFM should be implemented to manage the dynamic balance between the capacity and demand. In the Asia Pacific region, it required ensuring a better alignment of the ATM capacity towards the traffic demand increasing rapidly, and then the common challenge is that implementation of ATFM will enable the fulfillment of safe, orderly and expeditious international traffic flow throughout the Asia in cooperation with related states.</w:t>
      </w:r>
    </w:p>
    <w:p w:rsidR="00A65D52" w:rsidRPr="00A65D52" w:rsidRDefault="00A65D52" w:rsidP="00A65D52">
      <w:pPr>
        <w:tabs>
          <w:tab w:val="left" w:pos="0"/>
          <w:tab w:val="left" w:pos="720"/>
        </w:tabs>
        <w:rPr>
          <w:sz w:val="22"/>
          <w:szCs w:val="22"/>
        </w:rPr>
      </w:pPr>
    </w:p>
    <w:p w:rsidR="00B879A3" w:rsidRPr="00912FC9" w:rsidRDefault="00A65D52" w:rsidP="00A65D52">
      <w:pPr>
        <w:numPr>
          <w:ilvl w:val="0"/>
          <w:numId w:val="12"/>
        </w:numPr>
        <w:tabs>
          <w:tab w:val="left" w:pos="0"/>
          <w:tab w:val="left" w:pos="720"/>
        </w:tabs>
        <w:ind w:left="0" w:firstLine="0"/>
        <w:rPr>
          <w:sz w:val="22"/>
          <w:szCs w:val="22"/>
        </w:rPr>
      </w:pPr>
      <w:r w:rsidRPr="00A65D52">
        <w:rPr>
          <w:sz w:val="22"/>
          <w:szCs w:val="22"/>
        </w:rPr>
        <w:t>JCAB will proceed with plans which aim to satisfy airspace users’ needs, that we promote effective and high-density utilization of airspace resources by the introduction of strategic capacity enhancement of airspace and tactical measures and technique of ATFM. These plans guarantee more beneficial effects on ATFM operations by harmonizing domestic and international flights in the same airspace. The improvement of international ATFM is the top priority issue for JCAB.</w:t>
      </w:r>
    </w:p>
    <w:p w:rsidR="00A65D52" w:rsidRPr="00912FC9" w:rsidRDefault="00A65D52" w:rsidP="005A29C2">
      <w:pPr>
        <w:rPr>
          <w:sz w:val="22"/>
          <w:szCs w:val="22"/>
          <w:lang w:eastAsia="ja-JP"/>
        </w:rPr>
      </w:pPr>
    </w:p>
    <w:p w:rsidR="005A29C2" w:rsidRPr="00912FC9" w:rsidRDefault="005A29C2" w:rsidP="005A29C2">
      <w:pPr>
        <w:numPr>
          <w:ilvl w:val="0"/>
          <w:numId w:val="2"/>
        </w:numPr>
        <w:tabs>
          <w:tab w:val="clear" w:pos="1080"/>
          <w:tab w:val="num" w:pos="720"/>
        </w:tabs>
        <w:ind w:hanging="1080"/>
        <w:rPr>
          <w:b/>
          <w:sz w:val="22"/>
          <w:szCs w:val="22"/>
        </w:rPr>
      </w:pPr>
      <w:r w:rsidRPr="00912FC9">
        <w:rPr>
          <w:b/>
          <w:sz w:val="22"/>
          <w:szCs w:val="22"/>
        </w:rPr>
        <w:t>Recommendation</w:t>
      </w:r>
    </w:p>
    <w:p w:rsidR="005A29C2" w:rsidRPr="00912FC9" w:rsidRDefault="005A29C2" w:rsidP="005A29C2">
      <w:pPr>
        <w:rPr>
          <w:b/>
          <w:sz w:val="22"/>
          <w:szCs w:val="22"/>
        </w:rPr>
      </w:pPr>
    </w:p>
    <w:p w:rsidR="005A29C2" w:rsidRPr="00912FC9" w:rsidRDefault="005A29C2" w:rsidP="00A72938">
      <w:pPr>
        <w:numPr>
          <w:ilvl w:val="0"/>
          <w:numId w:val="13"/>
        </w:numPr>
        <w:rPr>
          <w:sz w:val="22"/>
          <w:szCs w:val="22"/>
        </w:rPr>
      </w:pPr>
      <w:r w:rsidRPr="00912FC9">
        <w:rPr>
          <w:sz w:val="22"/>
          <w:szCs w:val="22"/>
        </w:rPr>
        <w:t xml:space="preserve">The Meeting is invited to note the information </w:t>
      </w:r>
      <w:r w:rsidR="00A72938">
        <w:rPr>
          <w:sz w:val="22"/>
          <w:szCs w:val="22"/>
        </w:rPr>
        <w:t>provided in this paper.</w:t>
      </w:r>
    </w:p>
    <w:p w:rsidR="005A29C2" w:rsidRPr="00912FC9" w:rsidRDefault="005A29C2" w:rsidP="005A29C2">
      <w:pPr>
        <w:tabs>
          <w:tab w:val="left" w:pos="0"/>
        </w:tabs>
        <w:rPr>
          <w:sz w:val="22"/>
          <w:szCs w:val="22"/>
        </w:rPr>
      </w:pPr>
    </w:p>
    <w:p w:rsidR="005A29C2" w:rsidRPr="00912FC9" w:rsidRDefault="005A29C2" w:rsidP="005A29C2">
      <w:pPr>
        <w:tabs>
          <w:tab w:val="left" w:pos="0"/>
        </w:tabs>
        <w:rPr>
          <w:sz w:val="22"/>
          <w:szCs w:val="22"/>
        </w:rPr>
      </w:pPr>
    </w:p>
    <w:p w:rsidR="005A29C2" w:rsidRPr="00912FC9" w:rsidRDefault="005A29C2" w:rsidP="005A29C2">
      <w:pPr>
        <w:spacing w:before="120"/>
        <w:ind w:left="1080" w:hanging="360"/>
        <w:rPr>
          <w:rFonts w:cs="Arial"/>
          <w:sz w:val="22"/>
          <w:szCs w:val="22"/>
        </w:rPr>
      </w:pPr>
    </w:p>
    <w:p w:rsidR="005A29C2" w:rsidRPr="001F336A" w:rsidRDefault="005A29C2" w:rsidP="001F5EA1">
      <w:pPr>
        <w:pStyle w:val="Title"/>
        <w:rPr>
          <w:b w:val="0"/>
          <w:sz w:val="22"/>
          <w:szCs w:val="22"/>
        </w:rPr>
      </w:pPr>
    </w:p>
    <w:sectPr w:rsidR="005A29C2" w:rsidRPr="001F336A" w:rsidSect="00FE7DDC">
      <w:headerReference w:type="default" r:id="rId11"/>
      <w:footerReference w:type="even" r:id="rId12"/>
      <w:footerReference w:type="default" r:id="rId13"/>
      <w:head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8FD" w:rsidRDefault="00AD68FD">
      <w:r>
        <w:separator/>
      </w:r>
    </w:p>
  </w:endnote>
  <w:endnote w:type="continuationSeparator" w:id="0">
    <w:p w:rsidR="00AD68FD" w:rsidRDefault="00AD6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93" w:rsidRDefault="00F11734" w:rsidP="00AC0219">
    <w:pPr>
      <w:pStyle w:val="Footer"/>
      <w:framePr w:wrap="around" w:vAnchor="text" w:hAnchor="margin" w:xAlign="center" w:y="1"/>
      <w:rPr>
        <w:rStyle w:val="PageNumber"/>
      </w:rPr>
    </w:pPr>
    <w:r>
      <w:rPr>
        <w:rStyle w:val="PageNumber"/>
      </w:rPr>
      <w:fldChar w:fldCharType="begin"/>
    </w:r>
    <w:r w:rsidR="00BC3A93">
      <w:rPr>
        <w:rStyle w:val="PageNumber"/>
      </w:rPr>
      <w:instrText xml:space="preserve">PAGE  </w:instrText>
    </w:r>
    <w:r>
      <w:rPr>
        <w:rStyle w:val="PageNumber"/>
      </w:rPr>
      <w:fldChar w:fldCharType="end"/>
    </w:r>
  </w:p>
  <w:p w:rsidR="00BC3A93" w:rsidRDefault="00BC3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E7DDC" w:rsidRDefault="00F11734">
    <w:pPr>
      <w:pStyle w:val="Footer"/>
      <w:jc w:val="center"/>
      <w:rPr>
        <w:sz w:val="22"/>
        <w:szCs w:val="22"/>
      </w:rPr>
    </w:pPr>
    <w:r w:rsidRPr="00FE7DDC">
      <w:rPr>
        <w:sz w:val="22"/>
        <w:szCs w:val="22"/>
      </w:rPr>
      <w:fldChar w:fldCharType="begin"/>
    </w:r>
    <w:r w:rsidR="00FE7DDC" w:rsidRPr="00FE7DDC">
      <w:rPr>
        <w:sz w:val="22"/>
        <w:szCs w:val="22"/>
      </w:rPr>
      <w:instrText xml:space="preserve"> PAGE   \* MERGEFORMAT </w:instrText>
    </w:r>
    <w:r w:rsidRPr="00FE7DDC">
      <w:rPr>
        <w:sz w:val="22"/>
        <w:szCs w:val="22"/>
      </w:rPr>
      <w:fldChar w:fldCharType="separate"/>
    </w:r>
    <w:r w:rsidR="00056D42">
      <w:rPr>
        <w:noProof/>
        <w:sz w:val="22"/>
        <w:szCs w:val="22"/>
      </w:rPr>
      <w:t>2</w:t>
    </w:r>
    <w:r w:rsidRPr="00FE7DDC">
      <w:rPr>
        <w:sz w:val="22"/>
        <w:szCs w:val="22"/>
      </w:rPr>
      <w:fldChar w:fldCharType="end"/>
    </w:r>
  </w:p>
  <w:p w:rsidR="00F0406F" w:rsidRDefault="00F040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8FD" w:rsidRDefault="00AD68FD">
      <w:r>
        <w:separator/>
      </w:r>
    </w:p>
  </w:footnote>
  <w:footnote w:type="continuationSeparator" w:id="0">
    <w:p w:rsidR="00AD68FD" w:rsidRDefault="00AD6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06F" w:rsidRPr="00F0406F" w:rsidRDefault="00F0406F" w:rsidP="00F0406F">
    <w:pPr>
      <w:pStyle w:val="Header"/>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0406F" w:rsidRDefault="00FE7DDC" w:rsidP="00FE7DDC">
    <w:pPr>
      <w:pStyle w:val="Header"/>
      <w:jc w:val="right"/>
      <w:rPr>
        <w:sz w:val="22"/>
        <w:szCs w:val="22"/>
      </w:rPr>
    </w:pPr>
    <w:r>
      <w:rPr>
        <w:sz w:val="22"/>
        <w:szCs w:val="22"/>
      </w:rPr>
      <w:t>CPWG/</w:t>
    </w:r>
    <w:r w:rsidR="00B315D2">
      <w:rPr>
        <w:sz w:val="22"/>
        <w:szCs w:val="22"/>
      </w:rPr>
      <w:t>1</w:t>
    </w:r>
    <w:r w:rsidR="006579CD">
      <w:rPr>
        <w:sz w:val="22"/>
        <w:szCs w:val="22"/>
      </w:rPr>
      <w:t>7</w:t>
    </w:r>
    <w:r w:rsidRPr="00F0406F">
      <w:rPr>
        <w:sz w:val="22"/>
        <w:szCs w:val="22"/>
      </w:rPr>
      <w:t xml:space="preserve"> – </w:t>
    </w:r>
    <w:r>
      <w:rPr>
        <w:sz w:val="22"/>
        <w:szCs w:val="22"/>
      </w:rPr>
      <w:t>IP</w:t>
    </w:r>
    <w:r w:rsidRPr="00F0406F">
      <w:rPr>
        <w:sz w:val="22"/>
        <w:szCs w:val="22"/>
      </w:rPr>
      <w:t>/</w:t>
    </w:r>
    <w:r w:rsidR="003C7B95">
      <w:rPr>
        <w:sz w:val="22"/>
        <w:szCs w:val="22"/>
      </w:rPr>
      <w:t>08</w:t>
    </w:r>
  </w:p>
  <w:p w:rsidR="00FE7DDC" w:rsidRPr="00F0406F" w:rsidRDefault="006579CD" w:rsidP="00FE7DDC">
    <w:pPr>
      <w:pStyle w:val="Header"/>
      <w:jc w:val="right"/>
      <w:rPr>
        <w:sz w:val="22"/>
        <w:szCs w:val="22"/>
      </w:rPr>
    </w:pPr>
    <w:r>
      <w:rPr>
        <w:sz w:val="22"/>
        <w:szCs w:val="22"/>
      </w:rPr>
      <w:t>04/06/2014</w:t>
    </w:r>
  </w:p>
  <w:p w:rsidR="002B1C02" w:rsidRPr="00FE7DDC" w:rsidRDefault="002B1C02" w:rsidP="00FE7D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12EF018A"/>
    <w:multiLevelType w:val="multilevel"/>
    <w:tmpl w:val="555E63F8"/>
    <w:lvl w:ilvl="0">
      <w:start w:val="1"/>
      <w:numFmt w:val="decimal"/>
      <w:lvlText w:val="2.%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D5D07A4"/>
    <w:multiLevelType w:val="multilevel"/>
    <w:tmpl w:val="E7B488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92E6241"/>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2532BC2"/>
    <w:multiLevelType w:val="multilevel"/>
    <w:tmpl w:val="413ABEC6"/>
    <w:lvl w:ilvl="0">
      <w:start w:val="1"/>
      <w:numFmt w:val="decimal"/>
      <w:lvlText w:val="4.%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290575F"/>
    <w:multiLevelType w:val="multilevel"/>
    <w:tmpl w:val="507629EA"/>
    <w:lvl w:ilvl="0">
      <w:start w:val="1"/>
      <w:numFmt w:val="decimal"/>
      <w:lvlText w:val="3.%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6AA373A"/>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D434B1"/>
    <w:multiLevelType w:val="multilevel"/>
    <w:tmpl w:val="F8601234"/>
    <w:lvl w:ilvl="0">
      <w:start w:val="1"/>
      <w:numFmt w:val="decimal"/>
      <w:lvlText w:val="5.%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645A93"/>
    <w:multiLevelType w:val="multilevel"/>
    <w:tmpl w:val="416AED06"/>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50C0207B"/>
    <w:multiLevelType w:val="hybridMultilevel"/>
    <w:tmpl w:val="6B168434"/>
    <w:lvl w:ilvl="0" w:tplc="D0A28D0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B84402"/>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59723B1"/>
    <w:multiLevelType w:val="hybridMultilevel"/>
    <w:tmpl w:val="DBE0A796"/>
    <w:lvl w:ilvl="0" w:tplc="1E80894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FB4248"/>
    <w:multiLevelType w:val="multilevel"/>
    <w:tmpl w:val="F788B136"/>
    <w:lvl w:ilvl="0">
      <w:start w:val="1"/>
      <w:numFmt w:val="decimal"/>
      <w:lvlText w:val="3.%1."/>
      <w:lvlJc w:val="left"/>
      <w:pPr>
        <w:ind w:left="720" w:hanging="720"/>
      </w:pPr>
      <w:rPr>
        <w:rFonts w:cs="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2"/>
  </w:num>
  <w:num w:numId="4">
    <w:abstractNumId w:val="1"/>
  </w:num>
  <w:num w:numId="5">
    <w:abstractNumId w:val="10"/>
  </w:num>
  <w:num w:numId="6">
    <w:abstractNumId w:val="5"/>
  </w:num>
  <w:num w:numId="7">
    <w:abstractNumId w:val="4"/>
  </w:num>
  <w:num w:numId="8">
    <w:abstractNumId w:val="7"/>
  </w:num>
  <w:num w:numId="9">
    <w:abstractNumId w:val="3"/>
  </w:num>
  <w:num w:numId="10">
    <w:abstractNumId w:val="6"/>
  </w:num>
  <w:num w:numId="11">
    <w:abstractNumId w:val="11"/>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13313">
      <v:textbox inset="5.85pt,.7pt,5.85pt,.7pt"/>
    </o:shapedefaults>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CB6"/>
    <w:rsid w:val="000000CF"/>
    <w:rsid w:val="00002F69"/>
    <w:rsid w:val="0000341D"/>
    <w:rsid w:val="00016EF7"/>
    <w:rsid w:val="00032439"/>
    <w:rsid w:val="0003254D"/>
    <w:rsid w:val="00032E42"/>
    <w:rsid w:val="00045472"/>
    <w:rsid w:val="00046ADB"/>
    <w:rsid w:val="00056D42"/>
    <w:rsid w:val="00063DD6"/>
    <w:rsid w:val="00066234"/>
    <w:rsid w:val="00070B23"/>
    <w:rsid w:val="000834EE"/>
    <w:rsid w:val="0008466C"/>
    <w:rsid w:val="00092C65"/>
    <w:rsid w:val="00096533"/>
    <w:rsid w:val="0009659C"/>
    <w:rsid w:val="000A2A8C"/>
    <w:rsid w:val="000A4C3B"/>
    <w:rsid w:val="000A5580"/>
    <w:rsid w:val="000B1A73"/>
    <w:rsid w:val="000B24CF"/>
    <w:rsid w:val="000B393E"/>
    <w:rsid w:val="000B5739"/>
    <w:rsid w:val="000B5F2E"/>
    <w:rsid w:val="000B6687"/>
    <w:rsid w:val="000B7572"/>
    <w:rsid w:val="000C1296"/>
    <w:rsid w:val="000C1F44"/>
    <w:rsid w:val="000C394F"/>
    <w:rsid w:val="000D1A01"/>
    <w:rsid w:val="000D3844"/>
    <w:rsid w:val="000D707D"/>
    <w:rsid w:val="000E2A7D"/>
    <w:rsid w:val="00106891"/>
    <w:rsid w:val="0011173C"/>
    <w:rsid w:val="00117DE9"/>
    <w:rsid w:val="00127C8E"/>
    <w:rsid w:val="00136D5E"/>
    <w:rsid w:val="00145965"/>
    <w:rsid w:val="00156E35"/>
    <w:rsid w:val="00157658"/>
    <w:rsid w:val="00157675"/>
    <w:rsid w:val="00157F8C"/>
    <w:rsid w:val="0017417D"/>
    <w:rsid w:val="00175059"/>
    <w:rsid w:val="00176654"/>
    <w:rsid w:val="00177FE4"/>
    <w:rsid w:val="00182A43"/>
    <w:rsid w:val="00195A2D"/>
    <w:rsid w:val="0019733E"/>
    <w:rsid w:val="001B173B"/>
    <w:rsid w:val="001B60DA"/>
    <w:rsid w:val="001C23B1"/>
    <w:rsid w:val="001D123B"/>
    <w:rsid w:val="001D7CF2"/>
    <w:rsid w:val="001E5616"/>
    <w:rsid w:val="001E5952"/>
    <w:rsid w:val="001E5C82"/>
    <w:rsid w:val="001F191F"/>
    <w:rsid w:val="001F336A"/>
    <w:rsid w:val="001F3AA3"/>
    <w:rsid w:val="001F5EA1"/>
    <w:rsid w:val="00204776"/>
    <w:rsid w:val="00207BF7"/>
    <w:rsid w:val="00210F5F"/>
    <w:rsid w:val="00212635"/>
    <w:rsid w:val="0021394B"/>
    <w:rsid w:val="00224AD2"/>
    <w:rsid w:val="00224F78"/>
    <w:rsid w:val="0022503F"/>
    <w:rsid w:val="002326D3"/>
    <w:rsid w:val="002329A9"/>
    <w:rsid w:val="0023402D"/>
    <w:rsid w:val="00240795"/>
    <w:rsid w:val="00241E3B"/>
    <w:rsid w:val="00244906"/>
    <w:rsid w:val="00245767"/>
    <w:rsid w:val="0025003C"/>
    <w:rsid w:val="002519D1"/>
    <w:rsid w:val="0025469A"/>
    <w:rsid w:val="0026071B"/>
    <w:rsid w:val="00264A6B"/>
    <w:rsid w:val="0027105A"/>
    <w:rsid w:val="002721A0"/>
    <w:rsid w:val="0027343E"/>
    <w:rsid w:val="00273B27"/>
    <w:rsid w:val="0029050A"/>
    <w:rsid w:val="002A2FFF"/>
    <w:rsid w:val="002A3D4C"/>
    <w:rsid w:val="002B1C02"/>
    <w:rsid w:val="002C08AC"/>
    <w:rsid w:val="002D1F7C"/>
    <w:rsid w:val="002D4A15"/>
    <w:rsid w:val="002D6392"/>
    <w:rsid w:val="002D78B8"/>
    <w:rsid w:val="002E1645"/>
    <w:rsid w:val="002E2DF7"/>
    <w:rsid w:val="002E2E5F"/>
    <w:rsid w:val="002E3111"/>
    <w:rsid w:val="002E38A7"/>
    <w:rsid w:val="002E601E"/>
    <w:rsid w:val="002E6778"/>
    <w:rsid w:val="002F030A"/>
    <w:rsid w:val="002F5B31"/>
    <w:rsid w:val="002F7AD2"/>
    <w:rsid w:val="0030516A"/>
    <w:rsid w:val="0030686F"/>
    <w:rsid w:val="0030746A"/>
    <w:rsid w:val="00325C28"/>
    <w:rsid w:val="0033003C"/>
    <w:rsid w:val="003301B5"/>
    <w:rsid w:val="003342B1"/>
    <w:rsid w:val="003423BB"/>
    <w:rsid w:val="00343D24"/>
    <w:rsid w:val="00346DAE"/>
    <w:rsid w:val="0035421C"/>
    <w:rsid w:val="00354409"/>
    <w:rsid w:val="003576F1"/>
    <w:rsid w:val="00361E41"/>
    <w:rsid w:val="00362CB6"/>
    <w:rsid w:val="003636BE"/>
    <w:rsid w:val="003663D0"/>
    <w:rsid w:val="00372084"/>
    <w:rsid w:val="0037486A"/>
    <w:rsid w:val="00375744"/>
    <w:rsid w:val="0037772C"/>
    <w:rsid w:val="0038439A"/>
    <w:rsid w:val="00393FCC"/>
    <w:rsid w:val="00397A7F"/>
    <w:rsid w:val="003A462E"/>
    <w:rsid w:val="003A68F9"/>
    <w:rsid w:val="003B2874"/>
    <w:rsid w:val="003B2FF6"/>
    <w:rsid w:val="003B567D"/>
    <w:rsid w:val="003C048B"/>
    <w:rsid w:val="003C2598"/>
    <w:rsid w:val="003C7A81"/>
    <w:rsid w:val="003C7B95"/>
    <w:rsid w:val="003D25B4"/>
    <w:rsid w:val="003D45FB"/>
    <w:rsid w:val="003D4BFA"/>
    <w:rsid w:val="003D74A4"/>
    <w:rsid w:val="003D75CF"/>
    <w:rsid w:val="003D7914"/>
    <w:rsid w:val="003E25E1"/>
    <w:rsid w:val="003E3B87"/>
    <w:rsid w:val="003E45E2"/>
    <w:rsid w:val="003E6B6B"/>
    <w:rsid w:val="003E73E3"/>
    <w:rsid w:val="003F283D"/>
    <w:rsid w:val="00404DD0"/>
    <w:rsid w:val="00414FBF"/>
    <w:rsid w:val="0041550B"/>
    <w:rsid w:val="00415F59"/>
    <w:rsid w:val="00415FBC"/>
    <w:rsid w:val="00416A82"/>
    <w:rsid w:val="004216A5"/>
    <w:rsid w:val="00422653"/>
    <w:rsid w:val="00431A0F"/>
    <w:rsid w:val="0044118F"/>
    <w:rsid w:val="004416F5"/>
    <w:rsid w:val="00444108"/>
    <w:rsid w:val="00444117"/>
    <w:rsid w:val="004442DF"/>
    <w:rsid w:val="00446CF7"/>
    <w:rsid w:val="00454645"/>
    <w:rsid w:val="004729EE"/>
    <w:rsid w:val="00481C44"/>
    <w:rsid w:val="0048229A"/>
    <w:rsid w:val="0048473D"/>
    <w:rsid w:val="004855DA"/>
    <w:rsid w:val="00485D33"/>
    <w:rsid w:val="00487EBA"/>
    <w:rsid w:val="0049572B"/>
    <w:rsid w:val="004A6C9A"/>
    <w:rsid w:val="004B1272"/>
    <w:rsid w:val="004B3E65"/>
    <w:rsid w:val="004C17D0"/>
    <w:rsid w:val="004C716C"/>
    <w:rsid w:val="004D4005"/>
    <w:rsid w:val="004D5F12"/>
    <w:rsid w:val="004E1731"/>
    <w:rsid w:val="004E1E26"/>
    <w:rsid w:val="004E3BCB"/>
    <w:rsid w:val="004E5ECB"/>
    <w:rsid w:val="004F7271"/>
    <w:rsid w:val="0050305F"/>
    <w:rsid w:val="00515501"/>
    <w:rsid w:val="00524AFC"/>
    <w:rsid w:val="00526A99"/>
    <w:rsid w:val="005274C0"/>
    <w:rsid w:val="00527718"/>
    <w:rsid w:val="0053197C"/>
    <w:rsid w:val="005361CC"/>
    <w:rsid w:val="00537728"/>
    <w:rsid w:val="00542BF4"/>
    <w:rsid w:val="00551F37"/>
    <w:rsid w:val="00565996"/>
    <w:rsid w:val="0059082E"/>
    <w:rsid w:val="00593F91"/>
    <w:rsid w:val="005949ED"/>
    <w:rsid w:val="00596F48"/>
    <w:rsid w:val="005A23D7"/>
    <w:rsid w:val="005A29C2"/>
    <w:rsid w:val="005A5004"/>
    <w:rsid w:val="005B0CD2"/>
    <w:rsid w:val="005B1F80"/>
    <w:rsid w:val="005B44C1"/>
    <w:rsid w:val="005B587F"/>
    <w:rsid w:val="005D3A68"/>
    <w:rsid w:val="005D51A6"/>
    <w:rsid w:val="005D6F46"/>
    <w:rsid w:val="005E23D8"/>
    <w:rsid w:val="005F1C0A"/>
    <w:rsid w:val="005F2575"/>
    <w:rsid w:val="005F3F3C"/>
    <w:rsid w:val="005F76C4"/>
    <w:rsid w:val="00600889"/>
    <w:rsid w:val="006029AF"/>
    <w:rsid w:val="006035DE"/>
    <w:rsid w:val="006161F2"/>
    <w:rsid w:val="00620F46"/>
    <w:rsid w:val="00621E26"/>
    <w:rsid w:val="00634163"/>
    <w:rsid w:val="00634567"/>
    <w:rsid w:val="006375D8"/>
    <w:rsid w:val="006503E3"/>
    <w:rsid w:val="006579CD"/>
    <w:rsid w:val="00662497"/>
    <w:rsid w:val="00662F24"/>
    <w:rsid w:val="00667714"/>
    <w:rsid w:val="006739A3"/>
    <w:rsid w:val="00673FF9"/>
    <w:rsid w:val="00686D8E"/>
    <w:rsid w:val="00696DD6"/>
    <w:rsid w:val="006A01BB"/>
    <w:rsid w:val="006A1FB5"/>
    <w:rsid w:val="006A3980"/>
    <w:rsid w:val="006A61F9"/>
    <w:rsid w:val="006B0D67"/>
    <w:rsid w:val="006B2489"/>
    <w:rsid w:val="006D2944"/>
    <w:rsid w:val="006D5784"/>
    <w:rsid w:val="006F1602"/>
    <w:rsid w:val="006F319E"/>
    <w:rsid w:val="006F531F"/>
    <w:rsid w:val="00702493"/>
    <w:rsid w:val="00710688"/>
    <w:rsid w:val="00712EB0"/>
    <w:rsid w:val="00715AED"/>
    <w:rsid w:val="007170D0"/>
    <w:rsid w:val="007369D0"/>
    <w:rsid w:val="00741943"/>
    <w:rsid w:val="00742127"/>
    <w:rsid w:val="00753145"/>
    <w:rsid w:val="00753AFF"/>
    <w:rsid w:val="00757477"/>
    <w:rsid w:val="00765C6B"/>
    <w:rsid w:val="007660F1"/>
    <w:rsid w:val="007663A2"/>
    <w:rsid w:val="0077224D"/>
    <w:rsid w:val="00772B90"/>
    <w:rsid w:val="00780B8D"/>
    <w:rsid w:val="00787F08"/>
    <w:rsid w:val="00792547"/>
    <w:rsid w:val="0079445C"/>
    <w:rsid w:val="007A0B45"/>
    <w:rsid w:val="007A1B3F"/>
    <w:rsid w:val="007A3333"/>
    <w:rsid w:val="007B2E2D"/>
    <w:rsid w:val="007B4279"/>
    <w:rsid w:val="007B65F0"/>
    <w:rsid w:val="007C079E"/>
    <w:rsid w:val="007C0C7D"/>
    <w:rsid w:val="007C1D10"/>
    <w:rsid w:val="007C248C"/>
    <w:rsid w:val="007E0B9E"/>
    <w:rsid w:val="007E3CE8"/>
    <w:rsid w:val="007F5110"/>
    <w:rsid w:val="007F73C1"/>
    <w:rsid w:val="00803E7B"/>
    <w:rsid w:val="0080726A"/>
    <w:rsid w:val="00810336"/>
    <w:rsid w:val="00822653"/>
    <w:rsid w:val="00830E7C"/>
    <w:rsid w:val="00837D89"/>
    <w:rsid w:val="0084233A"/>
    <w:rsid w:val="008468CD"/>
    <w:rsid w:val="00850D02"/>
    <w:rsid w:val="008512FB"/>
    <w:rsid w:val="0085414F"/>
    <w:rsid w:val="0085427B"/>
    <w:rsid w:val="00855DAD"/>
    <w:rsid w:val="0085629B"/>
    <w:rsid w:val="00860AA1"/>
    <w:rsid w:val="0086165E"/>
    <w:rsid w:val="00861D12"/>
    <w:rsid w:val="00863454"/>
    <w:rsid w:val="0086411B"/>
    <w:rsid w:val="00865823"/>
    <w:rsid w:val="00875198"/>
    <w:rsid w:val="008832CA"/>
    <w:rsid w:val="00883B41"/>
    <w:rsid w:val="00884D64"/>
    <w:rsid w:val="00896046"/>
    <w:rsid w:val="00896C9C"/>
    <w:rsid w:val="008A3CBC"/>
    <w:rsid w:val="008A4708"/>
    <w:rsid w:val="008A4F02"/>
    <w:rsid w:val="008A5D6B"/>
    <w:rsid w:val="008B28E3"/>
    <w:rsid w:val="008B2D98"/>
    <w:rsid w:val="008B49C4"/>
    <w:rsid w:val="008B5279"/>
    <w:rsid w:val="008B701C"/>
    <w:rsid w:val="008C3746"/>
    <w:rsid w:val="008D0756"/>
    <w:rsid w:val="008F145F"/>
    <w:rsid w:val="008F61DF"/>
    <w:rsid w:val="009031B1"/>
    <w:rsid w:val="00906B6E"/>
    <w:rsid w:val="00907E91"/>
    <w:rsid w:val="00911214"/>
    <w:rsid w:val="0091124B"/>
    <w:rsid w:val="00912C5E"/>
    <w:rsid w:val="00912FC9"/>
    <w:rsid w:val="009138B6"/>
    <w:rsid w:val="00920E64"/>
    <w:rsid w:val="009219EA"/>
    <w:rsid w:val="0092700F"/>
    <w:rsid w:val="009316F6"/>
    <w:rsid w:val="00935136"/>
    <w:rsid w:val="0094286B"/>
    <w:rsid w:val="009472F5"/>
    <w:rsid w:val="009532A6"/>
    <w:rsid w:val="00953816"/>
    <w:rsid w:val="00956666"/>
    <w:rsid w:val="009573B4"/>
    <w:rsid w:val="00957BFF"/>
    <w:rsid w:val="0096108A"/>
    <w:rsid w:val="0096254C"/>
    <w:rsid w:val="00963DF7"/>
    <w:rsid w:val="009802CE"/>
    <w:rsid w:val="00980A43"/>
    <w:rsid w:val="009867B4"/>
    <w:rsid w:val="009B07CF"/>
    <w:rsid w:val="009C6A61"/>
    <w:rsid w:val="009D52AE"/>
    <w:rsid w:val="009E28F9"/>
    <w:rsid w:val="009E73ED"/>
    <w:rsid w:val="009F1D4B"/>
    <w:rsid w:val="009F3674"/>
    <w:rsid w:val="009F3B1A"/>
    <w:rsid w:val="009F491B"/>
    <w:rsid w:val="00A01CF2"/>
    <w:rsid w:val="00A04F9C"/>
    <w:rsid w:val="00A05459"/>
    <w:rsid w:val="00A17B65"/>
    <w:rsid w:val="00A23737"/>
    <w:rsid w:val="00A27C39"/>
    <w:rsid w:val="00A37C8D"/>
    <w:rsid w:val="00A46E58"/>
    <w:rsid w:val="00A46E98"/>
    <w:rsid w:val="00A50706"/>
    <w:rsid w:val="00A51D92"/>
    <w:rsid w:val="00A54178"/>
    <w:rsid w:val="00A5494E"/>
    <w:rsid w:val="00A6081F"/>
    <w:rsid w:val="00A65D52"/>
    <w:rsid w:val="00A66802"/>
    <w:rsid w:val="00A72938"/>
    <w:rsid w:val="00A74809"/>
    <w:rsid w:val="00A756F3"/>
    <w:rsid w:val="00A8370C"/>
    <w:rsid w:val="00A90FD2"/>
    <w:rsid w:val="00A97CE1"/>
    <w:rsid w:val="00AA78B0"/>
    <w:rsid w:val="00AB12A7"/>
    <w:rsid w:val="00AB2272"/>
    <w:rsid w:val="00AC0219"/>
    <w:rsid w:val="00AC23D7"/>
    <w:rsid w:val="00AC2A95"/>
    <w:rsid w:val="00AC68A4"/>
    <w:rsid w:val="00AC75DB"/>
    <w:rsid w:val="00AD1617"/>
    <w:rsid w:val="00AD1B22"/>
    <w:rsid w:val="00AD5168"/>
    <w:rsid w:val="00AD68FD"/>
    <w:rsid w:val="00AE7E56"/>
    <w:rsid w:val="00AF38D1"/>
    <w:rsid w:val="00AF41F9"/>
    <w:rsid w:val="00AF48AD"/>
    <w:rsid w:val="00B0539C"/>
    <w:rsid w:val="00B05BF1"/>
    <w:rsid w:val="00B11D18"/>
    <w:rsid w:val="00B154D4"/>
    <w:rsid w:val="00B15D64"/>
    <w:rsid w:val="00B21198"/>
    <w:rsid w:val="00B271A0"/>
    <w:rsid w:val="00B315D2"/>
    <w:rsid w:val="00B3163A"/>
    <w:rsid w:val="00B42761"/>
    <w:rsid w:val="00B47577"/>
    <w:rsid w:val="00B50FFF"/>
    <w:rsid w:val="00B528E0"/>
    <w:rsid w:val="00B52916"/>
    <w:rsid w:val="00B53933"/>
    <w:rsid w:val="00B53E03"/>
    <w:rsid w:val="00B62877"/>
    <w:rsid w:val="00B6528E"/>
    <w:rsid w:val="00B65855"/>
    <w:rsid w:val="00B708CC"/>
    <w:rsid w:val="00B71D51"/>
    <w:rsid w:val="00B75B6E"/>
    <w:rsid w:val="00B879A3"/>
    <w:rsid w:val="00B94560"/>
    <w:rsid w:val="00BA0110"/>
    <w:rsid w:val="00BA028E"/>
    <w:rsid w:val="00BA238D"/>
    <w:rsid w:val="00BA2D7F"/>
    <w:rsid w:val="00BA42FD"/>
    <w:rsid w:val="00BA71B9"/>
    <w:rsid w:val="00BB0E90"/>
    <w:rsid w:val="00BB4115"/>
    <w:rsid w:val="00BB6FDD"/>
    <w:rsid w:val="00BC325B"/>
    <w:rsid w:val="00BC3A93"/>
    <w:rsid w:val="00BE0678"/>
    <w:rsid w:val="00BE43C1"/>
    <w:rsid w:val="00BE4467"/>
    <w:rsid w:val="00BF0AE4"/>
    <w:rsid w:val="00BF1E40"/>
    <w:rsid w:val="00BF7939"/>
    <w:rsid w:val="00C026A0"/>
    <w:rsid w:val="00C03C7F"/>
    <w:rsid w:val="00C05E5C"/>
    <w:rsid w:val="00C05FFE"/>
    <w:rsid w:val="00C13D52"/>
    <w:rsid w:val="00C21837"/>
    <w:rsid w:val="00C235ED"/>
    <w:rsid w:val="00C27CBF"/>
    <w:rsid w:val="00C43B01"/>
    <w:rsid w:val="00C50439"/>
    <w:rsid w:val="00C5519F"/>
    <w:rsid w:val="00C56A2C"/>
    <w:rsid w:val="00C6075D"/>
    <w:rsid w:val="00C61F0C"/>
    <w:rsid w:val="00C628CE"/>
    <w:rsid w:val="00C63A0A"/>
    <w:rsid w:val="00C65FAD"/>
    <w:rsid w:val="00C71386"/>
    <w:rsid w:val="00C7350B"/>
    <w:rsid w:val="00C8655B"/>
    <w:rsid w:val="00C86902"/>
    <w:rsid w:val="00C950AF"/>
    <w:rsid w:val="00C97052"/>
    <w:rsid w:val="00CB40CC"/>
    <w:rsid w:val="00CB5FAE"/>
    <w:rsid w:val="00CB62B4"/>
    <w:rsid w:val="00CC03B2"/>
    <w:rsid w:val="00CC535D"/>
    <w:rsid w:val="00CC61F4"/>
    <w:rsid w:val="00CD4390"/>
    <w:rsid w:val="00CD442A"/>
    <w:rsid w:val="00CE2726"/>
    <w:rsid w:val="00CE50D2"/>
    <w:rsid w:val="00CE7184"/>
    <w:rsid w:val="00CF4DA3"/>
    <w:rsid w:val="00CF7573"/>
    <w:rsid w:val="00D022A1"/>
    <w:rsid w:val="00D03844"/>
    <w:rsid w:val="00D04D5D"/>
    <w:rsid w:val="00D0519A"/>
    <w:rsid w:val="00D05B2F"/>
    <w:rsid w:val="00D23F8F"/>
    <w:rsid w:val="00D438DD"/>
    <w:rsid w:val="00D43F48"/>
    <w:rsid w:val="00D45AE2"/>
    <w:rsid w:val="00D5458A"/>
    <w:rsid w:val="00D61BF9"/>
    <w:rsid w:val="00D7058B"/>
    <w:rsid w:val="00D76E18"/>
    <w:rsid w:val="00D80369"/>
    <w:rsid w:val="00D813CE"/>
    <w:rsid w:val="00D85510"/>
    <w:rsid w:val="00D909F2"/>
    <w:rsid w:val="00D90D98"/>
    <w:rsid w:val="00D92339"/>
    <w:rsid w:val="00D92F12"/>
    <w:rsid w:val="00DA6CDD"/>
    <w:rsid w:val="00DB0159"/>
    <w:rsid w:val="00DC0EDE"/>
    <w:rsid w:val="00DC1571"/>
    <w:rsid w:val="00DC44AA"/>
    <w:rsid w:val="00DC5EDC"/>
    <w:rsid w:val="00DC76B7"/>
    <w:rsid w:val="00DD6E73"/>
    <w:rsid w:val="00DE0A27"/>
    <w:rsid w:val="00DE2D2B"/>
    <w:rsid w:val="00DF01BB"/>
    <w:rsid w:val="00DF1AD1"/>
    <w:rsid w:val="00E037C0"/>
    <w:rsid w:val="00E07755"/>
    <w:rsid w:val="00E12901"/>
    <w:rsid w:val="00E1600F"/>
    <w:rsid w:val="00E20704"/>
    <w:rsid w:val="00E236F1"/>
    <w:rsid w:val="00E25D3B"/>
    <w:rsid w:val="00E340DD"/>
    <w:rsid w:val="00E35FBD"/>
    <w:rsid w:val="00E37196"/>
    <w:rsid w:val="00E417C9"/>
    <w:rsid w:val="00E427B9"/>
    <w:rsid w:val="00E44E1A"/>
    <w:rsid w:val="00E50038"/>
    <w:rsid w:val="00E5361A"/>
    <w:rsid w:val="00E53E83"/>
    <w:rsid w:val="00E657E9"/>
    <w:rsid w:val="00E662F7"/>
    <w:rsid w:val="00E804F3"/>
    <w:rsid w:val="00E83760"/>
    <w:rsid w:val="00E85D81"/>
    <w:rsid w:val="00E92505"/>
    <w:rsid w:val="00E97425"/>
    <w:rsid w:val="00EA15BE"/>
    <w:rsid w:val="00EA1D6D"/>
    <w:rsid w:val="00EA687E"/>
    <w:rsid w:val="00EC72AC"/>
    <w:rsid w:val="00EC7E0A"/>
    <w:rsid w:val="00ED0568"/>
    <w:rsid w:val="00ED094C"/>
    <w:rsid w:val="00ED0962"/>
    <w:rsid w:val="00ED6D5B"/>
    <w:rsid w:val="00EE16A4"/>
    <w:rsid w:val="00EE198A"/>
    <w:rsid w:val="00EE3693"/>
    <w:rsid w:val="00EE72F6"/>
    <w:rsid w:val="00EE7F02"/>
    <w:rsid w:val="00EF449A"/>
    <w:rsid w:val="00EF78A5"/>
    <w:rsid w:val="00F024A0"/>
    <w:rsid w:val="00F0406F"/>
    <w:rsid w:val="00F11734"/>
    <w:rsid w:val="00F16058"/>
    <w:rsid w:val="00F23C74"/>
    <w:rsid w:val="00F25DE5"/>
    <w:rsid w:val="00F30CA8"/>
    <w:rsid w:val="00F3487E"/>
    <w:rsid w:val="00F35BE4"/>
    <w:rsid w:val="00F40C0A"/>
    <w:rsid w:val="00F423DF"/>
    <w:rsid w:val="00F42731"/>
    <w:rsid w:val="00F43F0F"/>
    <w:rsid w:val="00F504C5"/>
    <w:rsid w:val="00F519A2"/>
    <w:rsid w:val="00F55F2C"/>
    <w:rsid w:val="00F608E2"/>
    <w:rsid w:val="00F637B2"/>
    <w:rsid w:val="00F70A61"/>
    <w:rsid w:val="00F74D13"/>
    <w:rsid w:val="00F82818"/>
    <w:rsid w:val="00F86AA5"/>
    <w:rsid w:val="00F95A96"/>
    <w:rsid w:val="00F9622E"/>
    <w:rsid w:val="00FA1294"/>
    <w:rsid w:val="00FA1362"/>
    <w:rsid w:val="00FA3FD6"/>
    <w:rsid w:val="00FB00F5"/>
    <w:rsid w:val="00FB04AE"/>
    <w:rsid w:val="00FB06CE"/>
    <w:rsid w:val="00FB095E"/>
    <w:rsid w:val="00FB188D"/>
    <w:rsid w:val="00FC691E"/>
    <w:rsid w:val="00FD12A5"/>
    <w:rsid w:val="00FD396D"/>
    <w:rsid w:val="00FD638B"/>
    <w:rsid w:val="00FE0B6B"/>
    <w:rsid w:val="00FE1802"/>
    <w:rsid w:val="00FE184B"/>
    <w:rsid w:val="00FE4168"/>
    <w:rsid w:val="00FE6824"/>
    <w:rsid w:val="00FE6F72"/>
    <w:rsid w:val="00FE7DDC"/>
    <w:rsid w:val="00FF1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889"/>
    <w:rPr>
      <w:sz w:val="24"/>
      <w:szCs w:val="24"/>
      <w:lang w:eastAsia="en-US"/>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rsid w:val="00DA6CDD"/>
    <w:rPr>
      <w:color w:val="0000FF"/>
      <w:u w:val="single"/>
    </w:rPr>
  </w:style>
  <w:style w:type="character" w:styleId="HTMLTypewriter">
    <w:name w:val="HTML Typewriter"/>
    <w:rsid w:val="00204776"/>
    <w:rPr>
      <w:rFonts w:ascii="Courier New" w:eastAsia="Times New Roman" w:hAnsi="Courier New" w:cs="Courier New"/>
      <w:sz w:val="20"/>
      <w:szCs w:val="20"/>
    </w:rPr>
  </w:style>
  <w:style w:type="paragraph" w:styleId="ListParagraph">
    <w:name w:val="List Paragraph"/>
    <w:basedOn w:val="Normal"/>
    <w:uiPriority w:val="34"/>
    <w:qFormat/>
    <w:rsid w:val="009C6A61"/>
    <w:pPr>
      <w:ind w:left="720"/>
    </w:pPr>
  </w:style>
  <w:style w:type="character" w:customStyle="1" w:styleId="FooterChar">
    <w:name w:val="Footer Char"/>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5387">
      <w:bodyDiv w:val="1"/>
      <w:marLeft w:val="0"/>
      <w:marRight w:val="0"/>
      <w:marTop w:val="0"/>
      <w:marBottom w:val="0"/>
      <w:divBdr>
        <w:top w:val="none" w:sz="0" w:space="0" w:color="auto"/>
        <w:left w:val="none" w:sz="0" w:space="0" w:color="auto"/>
        <w:bottom w:val="none" w:sz="0" w:space="0" w:color="auto"/>
        <w:right w:val="none" w:sz="0" w:space="0" w:color="auto"/>
      </w:divBdr>
      <w:divsChild>
        <w:div w:id="1951736047">
          <w:marLeft w:val="0"/>
          <w:marRight w:val="0"/>
          <w:marTop w:val="0"/>
          <w:marBottom w:val="0"/>
          <w:divBdr>
            <w:top w:val="none" w:sz="0" w:space="0" w:color="auto"/>
            <w:left w:val="none" w:sz="0" w:space="0" w:color="auto"/>
            <w:bottom w:val="none" w:sz="0" w:space="0" w:color="auto"/>
            <w:right w:val="none" w:sz="0" w:space="0" w:color="auto"/>
          </w:divBdr>
          <w:divsChild>
            <w:div w:id="499078086">
              <w:marLeft w:val="0"/>
              <w:marRight w:val="0"/>
              <w:marTop w:val="0"/>
              <w:marBottom w:val="0"/>
              <w:divBdr>
                <w:top w:val="none" w:sz="0" w:space="0" w:color="auto"/>
                <w:left w:val="none" w:sz="0" w:space="0" w:color="auto"/>
                <w:bottom w:val="none" w:sz="0" w:space="0" w:color="auto"/>
                <w:right w:val="none" w:sz="0" w:space="0" w:color="auto"/>
              </w:divBdr>
            </w:div>
            <w:div w:id="963577216">
              <w:marLeft w:val="0"/>
              <w:marRight w:val="0"/>
              <w:marTop w:val="0"/>
              <w:marBottom w:val="0"/>
              <w:divBdr>
                <w:top w:val="none" w:sz="0" w:space="0" w:color="auto"/>
                <w:left w:val="none" w:sz="0" w:space="0" w:color="auto"/>
                <w:bottom w:val="none" w:sz="0" w:space="0" w:color="auto"/>
                <w:right w:val="none" w:sz="0" w:space="0" w:color="auto"/>
              </w:divBdr>
            </w:div>
            <w:div w:id="1099646228">
              <w:marLeft w:val="0"/>
              <w:marRight w:val="0"/>
              <w:marTop w:val="0"/>
              <w:marBottom w:val="0"/>
              <w:divBdr>
                <w:top w:val="none" w:sz="0" w:space="0" w:color="auto"/>
                <w:left w:val="none" w:sz="0" w:space="0" w:color="auto"/>
                <w:bottom w:val="none" w:sz="0" w:space="0" w:color="auto"/>
                <w:right w:val="none" w:sz="0" w:space="0" w:color="auto"/>
              </w:divBdr>
            </w:div>
            <w:div w:id="1424449593">
              <w:marLeft w:val="0"/>
              <w:marRight w:val="0"/>
              <w:marTop w:val="0"/>
              <w:marBottom w:val="0"/>
              <w:divBdr>
                <w:top w:val="none" w:sz="0" w:space="0" w:color="auto"/>
                <w:left w:val="none" w:sz="0" w:space="0" w:color="auto"/>
                <w:bottom w:val="none" w:sz="0" w:space="0" w:color="auto"/>
                <w:right w:val="none" w:sz="0" w:space="0" w:color="auto"/>
              </w:divBdr>
            </w:div>
            <w:div w:id="1560819634">
              <w:marLeft w:val="0"/>
              <w:marRight w:val="0"/>
              <w:marTop w:val="0"/>
              <w:marBottom w:val="0"/>
              <w:divBdr>
                <w:top w:val="none" w:sz="0" w:space="0" w:color="auto"/>
                <w:left w:val="none" w:sz="0" w:space="0" w:color="auto"/>
                <w:bottom w:val="none" w:sz="0" w:space="0" w:color="auto"/>
                <w:right w:val="none" w:sz="0" w:space="0" w:color="auto"/>
              </w:divBdr>
            </w:div>
            <w:div w:id="21136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69564">
      <w:bodyDiv w:val="1"/>
      <w:marLeft w:val="0"/>
      <w:marRight w:val="0"/>
      <w:marTop w:val="0"/>
      <w:marBottom w:val="0"/>
      <w:divBdr>
        <w:top w:val="none" w:sz="0" w:space="0" w:color="auto"/>
        <w:left w:val="none" w:sz="0" w:space="0" w:color="auto"/>
        <w:bottom w:val="none" w:sz="0" w:space="0" w:color="auto"/>
        <w:right w:val="none" w:sz="0" w:space="0" w:color="auto"/>
      </w:divBdr>
      <w:divsChild>
        <w:div w:id="1267423132">
          <w:marLeft w:val="0"/>
          <w:marRight w:val="0"/>
          <w:marTop w:val="0"/>
          <w:marBottom w:val="0"/>
          <w:divBdr>
            <w:top w:val="none" w:sz="0" w:space="0" w:color="auto"/>
            <w:left w:val="none" w:sz="0" w:space="0" w:color="auto"/>
            <w:bottom w:val="none" w:sz="0" w:space="0" w:color="auto"/>
            <w:right w:val="none" w:sz="0" w:space="0" w:color="auto"/>
          </w:divBdr>
          <w:divsChild>
            <w:div w:id="15612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2755">
      <w:bodyDiv w:val="1"/>
      <w:marLeft w:val="0"/>
      <w:marRight w:val="0"/>
      <w:marTop w:val="0"/>
      <w:marBottom w:val="0"/>
      <w:divBdr>
        <w:top w:val="none" w:sz="0" w:space="0" w:color="auto"/>
        <w:left w:val="none" w:sz="0" w:space="0" w:color="auto"/>
        <w:bottom w:val="none" w:sz="0" w:space="0" w:color="auto"/>
        <w:right w:val="none" w:sz="0" w:space="0" w:color="auto"/>
      </w:divBdr>
      <w:divsChild>
        <w:div w:id="639189355">
          <w:marLeft w:val="0"/>
          <w:marRight w:val="0"/>
          <w:marTop w:val="0"/>
          <w:marBottom w:val="0"/>
          <w:divBdr>
            <w:top w:val="none" w:sz="0" w:space="0" w:color="auto"/>
            <w:left w:val="none" w:sz="0" w:space="0" w:color="auto"/>
            <w:bottom w:val="none" w:sz="0" w:space="0" w:color="auto"/>
            <w:right w:val="none" w:sz="0" w:space="0" w:color="auto"/>
          </w:divBdr>
          <w:divsChild>
            <w:div w:id="1301568356">
              <w:marLeft w:val="0"/>
              <w:marRight w:val="0"/>
              <w:marTop w:val="0"/>
              <w:marBottom w:val="0"/>
              <w:divBdr>
                <w:top w:val="none" w:sz="0" w:space="0" w:color="auto"/>
                <w:left w:val="none" w:sz="0" w:space="0" w:color="auto"/>
                <w:bottom w:val="none" w:sz="0" w:space="0" w:color="auto"/>
                <w:right w:val="none" w:sz="0" w:space="0" w:color="auto"/>
              </w:divBdr>
            </w:div>
            <w:div w:id="18456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48792">
      <w:bodyDiv w:val="1"/>
      <w:marLeft w:val="0"/>
      <w:marRight w:val="0"/>
      <w:marTop w:val="0"/>
      <w:marBottom w:val="0"/>
      <w:divBdr>
        <w:top w:val="none" w:sz="0" w:space="0" w:color="auto"/>
        <w:left w:val="none" w:sz="0" w:space="0" w:color="auto"/>
        <w:bottom w:val="none" w:sz="0" w:space="0" w:color="auto"/>
        <w:right w:val="none" w:sz="0" w:space="0" w:color="auto"/>
      </w:divBdr>
      <w:divsChild>
        <w:div w:id="889075481">
          <w:marLeft w:val="0"/>
          <w:marRight w:val="0"/>
          <w:marTop w:val="0"/>
          <w:marBottom w:val="0"/>
          <w:divBdr>
            <w:top w:val="none" w:sz="0" w:space="0" w:color="auto"/>
            <w:left w:val="none" w:sz="0" w:space="0" w:color="auto"/>
            <w:bottom w:val="none" w:sz="0" w:space="0" w:color="auto"/>
            <w:right w:val="none" w:sz="0" w:space="0" w:color="auto"/>
          </w:divBdr>
          <w:divsChild>
            <w:div w:id="524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637296">
      <w:bodyDiv w:val="1"/>
      <w:marLeft w:val="0"/>
      <w:marRight w:val="0"/>
      <w:marTop w:val="0"/>
      <w:marBottom w:val="0"/>
      <w:divBdr>
        <w:top w:val="none" w:sz="0" w:space="0" w:color="auto"/>
        <w:left w:val="none" w:sz="0" w:space="0" w:color="auto"/>
        <w:bottom w:val="none" w:sz="0" w:space="0" w:color="auto"/>
        <w:right w:val="none" w:sz="0" w:space="0" w:color="auto"/>
      </w:divBdr>
      <w:divsChild>
        <w:div w:id="584732921">
          <w:marLeft w:val="0"/>
          <w:marRight w:val="0"/>
          <w:marTop w:val="0"/>
          <w:marBottom w:val="0"/>
          <w:divBdr>
            <w:top w:val="none" w:sz="0" w:space="0" w:color="auto"/>
            <w:left w:val="none" w:sz="0" w:space="0" w:color="auto"/>
            <w:bottom w:val="none" w:sz="0" w:space="0" w:color="auto"/>
            <w:right w:val="none" w:sz="0" w:space="0" w:color="auto"/>
          </w:divBdr>
        </w:div>
        <w:div w:id="1028986587">
          <w:marLeft w:val="0"/>
          <w:marRight w:val="0"/>
          <w:marTop w:val="0"/>
          <w:marBottom w:val="0"/>
          <w:divBdr>
            <w:top w:val="none" w:sz="0" w:space="0" w:color="auto"/>
            <w:left w:val="none" w:sz="0" w:space="0" w:color="auto"/>
            <w:bottom w:val="none" w:sz="0" w:space="0" w:color="auto"/>
            <w:right w:val="none" w:sz="0" w:space="0" w:color="auto"/>
          </w:divBdr>
        </w:div>
        <w:div w:id="1378119966">
          <w:marLeft w:val="0"/>
          <w:marRight w:val="0"/>
          <w:marTop w:val="0"/>
          <w:marBottom w:val="0"/>
          <w:divBdr>
            <w:top w:val="none" w:sz="0" w:space="0" w:color="auto"/>
            <w:left w:val="none" w:sz="0" w:space="0" w:color="auto"/>
            <w:bottom w:val="none" w:sz="0" w:space="0" w:color="auto"/>
            <w:right w:val="none" w:sz="0" w:space="0" w:color="auto"/>
          </w:divBdr>
        </w:div>
        <w:div w:id="1580402289">
          <w:marLeft w:val="0"/>
          <w:marRight w:val="0"/>
          <w:marTop w:val="0"/>
          <w:marBottom w:val="0"/>
          <w:divBdr>
            <w:top w:val="none" w:sz="0" w:space="0" w:color="auto"/>
            <w:left w:val="none" w:sz="0" w:space="0" w:color="auto"/>
            <w:bottom w:val="none" w:sz="0" w:space="0" w:color="auto"/>
            <w:right w:val="none" w:sz="0" w:space="0" w:color="auto"/>
          </w:divBdr>
        </w:div>
        <w:div w:id="1739326831">
          <w:marLeft w:val="0"/>
          <w:marRight w:val="0"/>
          <w:marTop w:val="0"/>
          <w:marBottom w:val="0"/>
          <w:divBdr>
            <w:top w:val="none" w:sz="0" w:space="0" w:color="auto"/>
            <w:left w:val="none" w:sz="0" w:space="0" w:color="auto"/>
            <w:bottom w:val="none" w:sz="0" w:space="0" w:color="auto"/>
            <w:right w:val="none" w:sz="0" w:space="0" w:color="auto"/>
          </w:divBdr>
        </w:div>
        <w:div w:id="1987317413">
          <w:marLeft w:val="0"/>
          <w:marRight w:val="0"/>
          <w:marTop w:val="0"/>
          <w:marBottom w:val="0"/>
          <w:divBdr>
            <w:top w:val="none" w:sz="0" w:space="0" w:color="auto"/>
            <w:left w:val="none" w:sz="0" w:space="0" w:color="auto"/>
            <w:bottom w:val="none" w:sz="0" w:space="0" w:color="auto"/>
            <w:right w:val="none" w:sz="0" w:space="0" w:color="auto"/>
          </w:divBdr>
        </w:div>
        <w:div w:id="2046371865">
          <w:marLeft w:val="0"/>
          <w:marRight w:val="0"/>
          <w:marTop w:val="0"/>
          <w:marBottom w:val="0"/>
          <w:divBdr>
            <w:top w:val="none" w:sz="0" w:space="0" w:color="auto"/>
            <w:left w:val="none" w:sz="0" w:space="0" w:color="auto"/>
            <w:bottom w:val="none" w:sz="0" w:space="0" w:color="auto"/>
            <w:right w:val="none" w:sz="0" w:space="0" w:color="auto"/>
          </w:divBdr>
        </w:div>
      </w:divsChild>
    </w:div>
    <w:div w:id="1443190328">
      <w:bodyDiv w:val="1"/>
      <w:marLeft w:val="0"/>
      <w:marRight w:val="0"/>
      <w:marTop w:val="0"/>
      <w:marBottom w:val="0"/>
      <w:divBdr>
        <w:top w:val="none" w:sz="0" w:space="0" w:color="auto"/>
        <w:left w:val="none" w:sz="0" w:space="0" w:color="auto"/>
        <w:bottom w:val="none" w:sz="0" w:space="0" w:color="auto"/>
        <w:right w:val="none" w:sz="0" w:space="0" w:color="auto"/>
      </w:divBdr>
      <w:divsChild>
        <w:div w:id="2056463955">
          <w:marLeft w:val="0"/>
          <w:marRight w:val="0"/>
          <w:marTop w:val="0"/>
          <w:marBottom w:val="0"/>
          <w:divBdr>
            <w:top w:val="none" w:sz="0" w:space="0" w:color="auto"/>
            <w:left w:val="none" w:sz="0" w:space="0" w:color="auto"/>
            <w:bottom w:val="none" w:sz="0" w:space="0" w:color="auto"/>
            <w:right w:val="none" w:sz="0" w:space="0" w:color="auto"/>
          </w:divBdr>
          <w:divsChild>
            <w:div w:id="584532156">
              <w:marLeft w:val="0"/>
              <w:marRight w:val="0"/>
              <w:marTop w:val="0"/>
              <w:marBottom w:val="0"/>
              <w:divBdr>
                <w:top w:val="none" w:sz="0" w:space="0" w:color="auto"/>
                <w:left w:val="none" w:sz="0" w:space="0" w:color="auto"/>
                <w:bottom w:val="none" w:sz="0" w:space="0" w:color="auto"/>
                <w:right w:val="none" w:sz="0" w:space="0" w:color="auto"/>
              </w:divBdr>
            </w:div>
            <w:div w:id="783354378">
              <w:marLeft w:val="0"/>
              <w:marRight w:val="0"/>
              <w:marTop w:val="0"/>
              <w:marBottom w:val="0"/>
              <w:divBdr>
                <w:top w:val="none" w:sz="0" w:space="0" w:color="auto"/>
                <w:left w:val="none" w:sz="0" w:space="0" w:color="auto"/>
                <w:bottom w:val="none" w:sz="0" w:space="0" w:color="auto"/>
                <w:right w:val="none" w:sz="0" w:space="0" w:color="auto"/>
              </w:divBdr>
            </w:div>
            <w:div w:id="1250385236">
              <w:marLeft w:val="0"/>
              <w:marRight w:val="0"/>
              <w:marTop w:val="0"/>
              <w:marBottom w:val="0"/>
              <w:divBdr>
                <w:top w:val="none" w:sz="0" w:space="0" w:color="auto"/>
                <w:left w:val="none" w:sz="0" w:space="0" w:color="auto"/>
                <w:bottom w:val="none" w:sz="0" w:space="0" w:color="auto"/>
                <w:right w:val="none" w:sz="0" w:space="0" w:color="auto"/>
              </w:divBdr>
            </w:div>
            <w:div w:id="1757899531">
              <w:marLeft w:val="0"/>
              <w:marRight w:val="0"/>
              <w:marTop w:val="0"/>
              <w:marBottom w:val="0"/>
              <w:divBdr>
                <w:top w:val="none" w:sz="0" w:space="0" w:color="auto"/>
                <w:left w:val="none" w:sz="0" w:space="0" w:color="auto"/>
                <w:bottom w:val="none" w:sz="0" w:space="0" w:color="auto"/>
                <w:right w:val="none" w:sz="0" w:space="0" w:color="auto"/>
              </w:divBdr>
            </w:div>
            <w:div w:id="1812211898">
              <w:marLeft w:val="0"/>
              <w:marRight w:val="0"/>
              <w:marTop w:val="0"/>
              <w:marBottom w:val="0"/>
              <w:divBdr>
                <w:top w:val="none" w:sz="0" w:space="0" w:color="auto"/>
                <w:left w:val="none" w:sz="0" w:space="0" w:color="auto"/>
                <w:bottom w:val="none" w:sz="0" w:space="0" w:color="auto"/>
                <w:right w:val="none" w:sz="0" w:space="0" w:color="auto"/>
              </w:divBdr>
            </w:div>
            <w:div w:id="21368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6094">
      <w:bodyDiv w:val="1"/>
      <w:marLeft w:val="0"/>
      <w:marRight w:val="0"/>
      <w:marTop w:val="0"/>
      <w:marBottom w:val="0"/>
      <w:divBdr>
        <w:top w:val="none" w:sz="0" w:space="0" w:color="auto"/>
        <w:left w:val="none" w:sz="0" w:space="0" w:color="auto"/>
        <w:bottom w:val="none" w:sz="0" w:space="0" w:color="auto"/>
        <w:right w:val="none" w:sz="0" w:space="0" w:color="auto"/>
      </w:divBdr>
    </w:div>
    <w:div w:id="1690597505">
      <w:bodyDiv w:val="1"/>
      <w:marLeft w:val="0"/>
      <w:marRight w:val="0"/>
      <w:marTop w:val="0"/>
      <w:marBottom w:val="0"/>
      <w:divBdr>
        <w:top w:val="none" w:sz="0" w:space="0" w:color="auto"/>
        <w:left w:val="none" w:sz="0" w:space="0" w:color="auto"/>
        <w:bottom w:val="none" w:sz="0" w:space="0" w:color="auto"/>
        <w:right w:val="none" w:sz="0" w:space="0" w:color="auto"/>
      </w:divBdr>
      <w:divsChild>
        <w:div w:id="388580495">
          <w:marLeft w:val="0"/>
          <w:marRight w:val="0"/>
          <w:marTop w:val="0"/>
          <w:marBottom w:val="0"/>
          <w:divBdr>
            <w:top w:val="none" w:sz="0" w:space="0" w:color="auto"/>
            <w:left w:val="none" w:sz="0" w:space="0" w:color="auto"/>
            <w:bottom w:val="none" w:sz="0" w:space="0" w:color="auto"/>
            <w:right w:val="none" w:sz="0" w:space="0" w:color="auto"/>
          </w:divBdr>
        </w:div>
        <w:div w:id="589897518">
          <w:marLeft w:val="0"/>
          <w:marRight w:val="0"/>
          <w:marTop w:val="0"/>
          <w:marBottom w:val="0"/>
          <w:divBdr>
            <w:top w:val="none" w:sz="0" w:space="0" w:color="auto"/>
            <w:left w:val="none" w:sz="0" w:space="0" w:color="auto"/>
            <w:bottom w:val="none" w:sz="0" w:space="0" w:color="auto"/>
            <w:right w:val="none" w:sz="0" w:space="0" w:color="auto"/>
          </w:divBdr>
        </w:div>
        <w:div w:id="877812498">
          <w:marLeft w:val="0"/>
          <w:marRight w:val="0"/>
          <w:marTop w:val="0"/>
          <w:marBottom w:val="0"/>
          <w:divBdr>
            <w:top w:val="none" w:sz="0" w:space="0" w:color="auto"/>
            <w:left w:val="none" w:sz="0" w:space="0" w:color="auto"/>
            <w:bottom w:val="none" w:sz="0" w:space="0" w:color="auto"/>
            <w:right w:val="none" w:sz="0" w:space="0" w:color="auto"/>
          </w:divBdr>
        </w:div>
        <w:div w:id="1235093762">
          <w:marLeft w:val="0"/>
          <w:marRight w:val="0"/>
          <w:marTop w:val="0"/>
          <w:marBottom w:val="0"/>
          <w:divBdr>
            <w:top w:val="none" w:sz="0" w:space="0" w:color="auto"/>
            <w:left w:val="none" w:sz="0" w:space="0" w:color="auto"/>
            <w:bottom w:val="none" w:sz="0" w:space="0" w:color="auto"/>
            <w:right w:val="none" w:sz="0" w:space="0" w:color="auto"/>
          </w:divBdr>
        </w:div>
        <w:div w:id="1604342259">
          <w:marLeft w:val="0"/>
          <w:marRight w:val="0"/>
          <w:marTop w:val="0"/>
          <w:marBottom w:val="0"/>
          <w:divBdr>
            <w:top w:val="none" w:sz="0" w:space="0" w:color="auto"/>
            <w:left w:val="none" w:sz="0" w:space="0" w:color="auto"/>
            <w:bottom w:val="none" w:sz="0" w:space="0" w:color="auto"/>
            <w:right w:val="none" w:sz="0" w:space="0" w:color="auto"/>
          </w:divBdr>
        </w:div>
        <w:div w:id="1783069323">
          <w:marLeft w:val="0"/>
          <w:marRight w:val="0"/>
          <w:marTop w:val="0"/>
          <w:marBottom w:val="0"/>
          <w:divBdr>
            <w:top w:val="none" w:sz="0" w:space="0" w:color="auto"/>
            <w:left w:val="none" w:sz="0" w:space="0" w:color="auto"/>
            <w:bottom w:val="none" w:sz="0" w:space="0" w:color="auto"/>
            <w:right w:val="none" w:sz="0" w:space="0" w:color="auto"/>
          </w:divBdr>
        </w:div>
      </w:divsChild>
    </w:div>
    <w:div w:id="1875116082">
      <w:bodyDiv w:val="1"/>
      <w:marLeft w:val="0"/>
      <w:marRight w:val="0"/>
      <w:marTop w:val="0"/>
      <w:marBottom w:val="0"/>
      <w:divBdr>
        <w:top w:val="none" w:sz="0" w:space="0" w:color="auto"/>
        <w:left w:val="none" w:sz="0" w:space="0" w:color="auto"/>
        <w:bottom w:val="none" w:sz="0" w:space="0" w:color="auto"/>
        <w:right w:val="none" w:sz="0" w:space="0" w:color="auto"/>
      </w:divBdr>
      <w:divsChild>
        <w:div w:id="283125594">
          <w:marLeft w:val="0"/>
          <w:marRight w:val="0"/>
          <w:marTop w:val="0"/>
          <w:marBottom w:val="0"/>
          <w:divBdr>
            <w:top w:val="none" w:sz="0" w:space="0" w:color="auto"/>
            <w:left w:val="none" w:sz="0" w:space="0" w:color="auto"/>
            <w:bottom w:val="none" w:sz="0" w:space="0" w:color="auto"/>
            <w:right w:val="none" w:sz="0" w:space="0" w:color="auto"/>
          </w:divBdr>
        </w:div>
        <w:div w:id="580993231">
          <w:marLeft w:val="0"/>
          <w:marRight w:val="0"/>
          <w:marTop w:val="0"/>
          <w:marBottom w:val="0"/>
          <w:divBdr>
            <w:top w:val="none" w:sz="0" w:space="0" w:color="auto"/>
            <w:left w:val="none" w:sz="0" w:space="0" w:color="auto"/>
            <w:bottom w:val="none" w:sz="0" w:space="0" w:color="auto"/>
            <w:right w:val="none" w:sz="0" w:space="0" w:color="auto"/>
          </w:divBdr>
        </w:div>
        <w:div w:id="881139421">
          <w:marLeft w:val="0"/>
          <w:marRight w:val="0"/>
          <w:marTop w:val="0"/>
          <w:marBottom w:val="0"/>
          <w:divBdr>
            <w:top w:val="none" w:sz="0" w:space="0" w:color="auto"/>
            <w:left w:val="none" w:sz="0" w:space="0" w:color="auto"/>
            <w:bottom w:val="none" w:sz="0" w:space="0" w:color="auto"/>
            <w:right w:val="none" w:sz="0" w:space="0" w:color="auto"/>
          </w:divBdr>
        </w:div>
        <w:div w:id="1140801409">
          <w:marLeft w:val="0"/>
          <w:marRight w:val="0"/>
          <w:marTop w:val="0"/>
          <w:marBottom w:val="0"/>
          <w:divBdr>
            <w:top w:val="none" w:sz="0" w:space="0" w:color="auto"/>
            <w:left w:val="none" w:sz="0" w:space="0" w:color="auto"/>
            <w:bottom w:val="none" w:sz="0" w:space="0" w:color="auto"/>
            <w:right w:val="none" w:sz="0" w:space="0" w:color="auto"/>
          </w:divBdr>
        </w:div>
        <w:div w:id="1368410086">
          <w:marLeft w:val="0"/>
          <w:marRight w:val="0"/>
          <w:marTop w:val="0"/>
          <w:marBottom w:val="0"/>
          <w:divBdr>
            <w:top w:val="none" w:sz="0" w:space="0" w:color="auto"/>
            <w:left w:val="none" w:sz="0" w:space="0" w:color="auto"/>
            <w:bottom w:val="none" w:sz="0" w:space="0" w:color="auto"/>
            <w:right w:val="none" w:sz="0" w:space="0" w:color="auto"/>
          </w:divBdr>
        </w:div>
        <w:div w:id="163220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F57BC078565D42A70E6EBA4A7C85E6" ma:contentTypeVersion="0" ma:contentTypeDescription="Create a new document." ma:contentTypeScope="" ma:versionID="1e70f0633f385c924458456f99460a7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A3C6D40-9C0F-4C5A-82BE-602EF341EAA3}">
  <ds:schemaRefs>
    <ds:schemaRef ds:uri="http://schemas.microsoft.com/sharepoint/v3/contenttype/forms"/>
  </ds:schemaRefs>
</ds:datastoreItem>
</file>

<file path=customXml/itemProps2.xml><?xml version="1.0" encoding="utf-8"?>
<ds:datastoreItem xmlns:ds="http://schemas.openxmlformats.org/officeDocument/2006/customXml" ds:itemID="{D029E3EA-6873-49C9-B6B3-857C03ED1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C9C2BE-2AF6-4B4C-BC3C-125850B20B0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604</Words>
  <Characters>3447</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first meeting of the ATM Automation Task Force of the ATM and CNS Committees of the GREPECAS ATM/CNS Subgroup, prepared th</vt:lpstr>
      <vt:lpstr>The first meeting of the ATM Automation Task Force of the ATM and CNS Committees of the GREPECAS ATM/CNS Subgroup, prepared th</vt:lpstr>
    </vt:vector>
  </TitlesOfParts>
  <Company>ATO/FAA</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of cpwg17</dc:title>
  <dc:creator>harada</dc:creator>
  <cp:lastModifiedBy>Moebius, Leah (FAA)</cp:lastModifiedBy>
  <cp:revision>8</cp:revision>
  <cp:lastPrinted>2014-05-21T15:45:00Z</cp:lastPrinted>
  <dcterms:created xsi:type="dcterms:W3CDTF">2014-05-19T05:01:00Z</dcterms:created>
  <dcterms:modified xsi:type="dcterms:W3CDTF">2014-05-23T12:27:00Z</dcterms:modified>
</cp:coreProperties>
</file>