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4F" w:rsidRPr="0047704F" w:rsidRDefault="0047704F" w:rsidP="0047704F">
      <w:pPr>
        <w:spacing w:before="45" w:after="45" w:line="240" w:lineRule="auto"/>
        <w:outlineLvl w:val="0"/>
        <w:rPr>
          <w:rFonts w:ascii="Arial" w:eastAsia="Times New Roman" w:hAnsi="Arial" w:cs="Arial"/>
          <w:b/>
          <w:bCs/>
          <w:spacing w:val="-15"/>
          <w:kern w:val="36"/>
          <w:sz w:val="32"/>
          <w:szCs w:val="32"/>
        </w:rPr>
      </w:pPr>
      <w:r w:rsidRPr="0047704F">
        <w:rPr>
          <w:rFonts w:ascii="Arial" w:eastAsia="Times New Roman" w:hAnsi="Arial" w:cs="Arial"/>
          <w:b/>
          <w:bCs/>
          <w:spacing w:val="-15"/>
          <w:kern w:val="36"/>
          <w:sz w:val="32"/>
          <w:szCs w:val="32"/>
        </w:rPr>
        <w:t>Supplemental Application Guidance for Unguided Suborbital Launch Vehicles</w:t>
      </w:r>
    </w:p>
    <w:p w:rsidR="0047704F" w:rsidRPr="0047704F" w:rsidRDefault="0047704F" w:rsidP="0047704F">
      <w:pPr>
        <w:spacing w:before="30" w:after="30" w:line="240" w:lineRule="auto"/>
        <w:outlineLvl w:val="0"/>
        <w:rPr>
          <w:rFonts w:ascii="Arial" w:eastAsia="Times New Roman" w:hAnsi="Arial" w:cs="Arial"/>
          <w:b/>
          <w:bCs/>
          <w:spacing w:val="-15"/>
          <w:kern w:val="36"/>
          <w:sz w:val="32"/>
          <w:szCs w:val="32"/>
        </w:rPr>
      </w:pPr>
      <w:r w:rsidRPr="0047704F">
        <w:rPr>
          <w:rFonts w:ascii="Arial" w:eastAsia="Times New Roman" w:hAnsi="Arial" w:cs="Arial"/>
          <w:b/>
          <w:bCs/>
          <w:spacing w:val="-15"/>
          <w:kern w:val="36"/>
          <w:sz w:val="32"/>
          <w:szCs w:val="32"/>
        </w:rPr>
        <w:t>Attachment 3 - Risk Analyses</w:t>
      </w:r>
    </w:p>
    <w:p w:rsidR="0047704F" w:rsidRPr="0047704F" w:rsidRDefault="0047704F" w:rsidP="0047704F">
      <w:p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Draft - 08/15/98</w:t>
      </w:r>
    </w:p>
    <w:p w:rsidR="0047704F" w:rsidRPr="0047704F" w:rsidRDefault="0047704F" w:rsidP="0047704F">
      <w:pPr>
        <w:spacing w:before="360" w:after="51" w:line="240" w:lineRule="auto"/>
        <w:outlineLvl w:val="1"/>
        <w:rPr>
          <w:rFonts w:ascii="Arial" w:eastAsia="Times New Roman" w:hAnsi="Arial" w:cs="Arial"/>
          <w:b/>
          <w:bCs/>
          <w:sz w:val="20"/>
          <w:szCs w:val="20"/>
        </w:rPr>
      </w:pPr>
      <w:r w:rsidRPr="0047704F">
        <w:rPr>
          <w:rFonts w:ascii="Arial" w:eastAsia="Times New Roman" w:hAnsi="Arial" w:cs="Arial"/>
          <w:b/>
          <w:bCs/>
          <w:sz w:val="20"/>
          <w:szCs w:val="20"/>
        </w:rPr>
        <w:t>General</w:t>
      </w:r>
    </w:p>
    <w:p w:rsidR="0047704F" w:rsidRPr="0047704F" w:rsidRDefault="0047704F" w:rsidP="0047704F">
      <w:pPr>
        <w:pStyle w:val="ListParagraph"/>
        <w:numPr>
          <w:ilvl w:val="0"/>
          <w:numId w:val="6"/>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An applicant shall determine the casualty expectation risk for all populated areas outside the impact hazard area in accordance with the definitions, input, methodology, and output prescribed below. Refer to Figure 3-1.</w:t>
      </w:r>
      <w:r w:rsidR="00EE6194">
        <w:rPr>
          <w:rFonts w:ascii="Arial" w:eastAsia="Times New Roman" w:hAnsi="Arial" w:cs="Arial"/>
          <w:sz w:val="20"/>
          <w:szCs w:val="20"/>
        </w:rPr>
        <w:br/>
      </w:r>
    </w:p>
    <w:p w:rsidR="0047704F" w:rsidRPr="0047704F" w:rsidRDefault="0047704F" w:rsidP="0047704F">
      <w:pPr>
        <w:pStyle w:val="ListParagraph"/>
        <w:numPr>
          <w:ilvl w:val="0"/>
          <w:numId w:val="6"/>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As part of the casualty expectation risk calculation, an applicant shall determine the impact probability of hitting populated areas.</w:t>
      </w:r>
    </w:p>
    <w:p w:rsidR="0047704F" w:rsidRPr="0047704F" w:rsidRDefault="0047704F" w:rsidP="0047704F">
      <w:pPr>
        <w:spacing w:after="0" w:line="240" w:lineRule="auto"/>
        <w:rPr>
          <w:rFonts w:ascii="Arial" w:eastAsia="Times New Roman" w:hAnsi="Arial" w:cs="Arial"/>
          <w:sz w:val="20"/>
          <w:szCs w:val="20"/>
        </w:rPr>
      </w:pPr>
      <w:r w:rsidRPr="0047704F">
        <w:rPr>
          <w:rFonts w:ascii="Arial" w:eastAsia="Times New Roman" w:hAnsi="Arial" w:cs="Arial"/>
          <w:noProof/>
          <w:sz w:val="20"/>
          <w:szCs w:val="20"/>
        </w:rPr>
        <w:drawing>
          <wp:inline distT="0" distB="0" distL="0" distR="0">
            <wp:extent cx="4880610" cy="3509010"/>
            <wp:effectExtent l="0" t="0" r="0" b="0"/>
            <wp:docPr id="1" name="Picture 1" descr="The restricted launch angle condition. The launch point is within a circle of maximum impact range just as with Figure 1, but because the launch is at an angle off the vertical, the impact hazard area is an ellipse with the launch point at one end. The ellipse comprises the hazard area and is within the circle of the maximum impact range. Populated areas are depicted schematically as rectangles within the circle but outside the impact hazard area ellipse with one rectangle overlapping the circle circum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stricted launch angle condition. The launch point is within a circle of maximum impact range just as with Figure 1, but because the launch is at an angle off the vertical, the impact hazard area is an ellipse with the launch point at one end. The ellipse comprises the hazard area and is within the circle of the maximum impact range. Populated areas are depicted schematically as rectangles within the circle but outside the impact hazard area ellipse with one rectangle overlapping the circle circumfer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0610" cy="3509010"/>
                    </a:xfrm>
                    <a:prstGeom prst="rect">
                      <a:avLst/>
                    </a:prstGeom>
                    <a:noFill/>
                    <a:ln>
                      <a:noFill/>
                    </a:ln>
                  </pic:spPr>
                </pic:pic>
              </a:graphicData>
            </a:graphic>
          </wp:inline>
        </w:drawing>
      </w:r>
      <w:r w:rsidRPr="0047704F">
        <w:rPr>
          <w:rFonts w:ascii="Arial" w:eastAsia="Times New Roman" w:hAnsi="Arial" w:cs="Arial"/>
          <w:sz w:val="20"/>
          <w:szCs w:val="20"/>
        </w:rPr>
        <w:t>Figure 3-1. Populated Areas (</w:t>
      </w:r>
      <w:hyperlink r:id="rId8" w:history="1">
        <w:r w:rsidRPr="0047704F">
          <w:rPr>
            <w:rFonts w:ascii="Arial" w:eastAsia="Times New Roman" w:hAnsi="Arial" w:cs="Arial"/>
            <w:color w:val="2353BA"/>
            <w:sz w:val="20"/>
            <w:szCs w:val="20"/>
          </w:rPr>
          <w:t>enlarge</w:t>
        </w:r>
      </w:hyperlink>
      <w:r w:rsidRPr="0047704F">
        <w:rPr>
          <w:rFonts w:ascii="Arial" w:eastAsia="Times New Roman" w:hAnsi="Arial" w:cs="Arial"/>
          <w:sz w:val="20"/>
          <w:szCs w:val="20"/>
        </w:rPr>
        <w:t>)</w:t>
      </w:r>
    </w:p>
    <w:p w:rsidR="0047704F" w:rsidRPr="0047704F" w:rsidRDefault="0047704F" w:rsidP="0047704F">
      <w:pPr>
        <w:spacing w:before="360" w:after="51" w:line="240" w:lineRule="auto"/>
        <w:outlineLvl w:val="1"/>
        <w:rPr>
          <w:rFonts w:ascii="Arial" w:eastAsia="Times New Roman" w:hAnsi="Arial" w:cs="Arial"/>
          <w:b/>
          <w:bCs/>
          <w:sz w:val="20"/>
          <w:szCs w:val="20"/>
        </w:rPr>
      </w:pPr>
      <w:r w:rsidRPr="0047704F">
        <w:rPr>
          <w:rFonts w:ascii="Arial" w:eastAsia="Times New Roman" w:hAnsi="Arial" w:cs="Arial"/>
          <w:b/>
          <w:bCs/>
          <w:sz w:val="20"/>
          <w:szCs w:val="20"/>
        </w:rPr>
        <w:t>Input</w:t>
      </w:r>
    </w:p>
    <w:p w:rsidR="0047704F" w:rsidRPr="0047704F" w:rsidRDefault="0047704F" w:rsidP="0047704F">
      <w:p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The following inputs are required to complete the risk analyses.</w:t>
      </w:r>
    </w:p>
    <w:p w:rsidR="0047704F" w:rsidRPr="0047704F" w:rsidRDefault="0047704F" w:rsidP="0047704F">
      <w:pPr>
        <w:pStyle w:val="ListParagraph"/>
        <w:numPr>
          <w:ilvl w:val="0"/>
          <w:numId w:val="7"/>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Vehicle failure data: The applicant shall use a probability of failure (P</w:t>
      </w:r>
      <w:r w:rsidRPr="0047704F">
        <w:rPr>
          <w:rFonts w:ascii="Arial" w:eastAsia="Times New Roman" w:hAnsi="Arial" w:cs="Arial"/>
          <w:sz w:val="20"/>
          <w:szCs w:val="20"/>
          <w:vertAlign w:val="subscript"/>
        </w:rPr>
        <w:t>f</w:t>
      </w:r>
      <w:r w:rsidRPr="0047704F">
        <w:rPr>
          <w:rFonts w:ascii="Arial" w:eastAsia="Times New Roman" w:hAnsi="Arial" w:cs="Arial"/>
          <w:sz w:val="20"/>
          <w:szCs w:val="20"/>
        </w:rPr>
        <w:t>) = 0.5. Given a failure, the applicant shall use a probability of occurrence (P</w:t>
      </w:r>
      <w:r w:rsidRPr="0047704F">
        <w:rPr>
          <w:rFonts w:ascii="Arial" w:eastAsia="Times New Roman" w:hAnsi="Arial" w:cs="Arial"/>
          <w:sz w:val="20"/>
          <w:szCs w:val="20"/>
          <w:vertAlign w:val="subscript"/>
        </w:rPr>
        <w:t>o</w:t>
      </w:r>
      <w:r w:rsidRPr="0047704F">
        <w:rPr>
          <w:rFonts w:ascii="Arial" w:eastAsia="Times New Roman" w:hAnsi="Arial" w:cs="Arial"/>
          <w:sz w:val="20"/>
          <w:szCs w:val="20"/>
        </w:rPr>
        <w:t>) of launch vehicle impact outside the impact hazard area of 0.15.</w:t>
      </w:r>
      <w:r w:rsidR="00EE6194">
        <w:rPr>
          <w:rFonts w:ascii="Arial" w:eastAsia="Times New Roman" w:hAnsi="Arial" w:cs="Arial"/>
          <w:sz w:val="20"/>
          <w:szCs w:val="20"/>
        </w:rPr>
        <w:br/>
      </w:r>
    </w:p>
    <w:p w:rsidR="0047704F" w:rsidRPr="0047704F" w:rsidRDefault="0047704F" w:rsidP="0047704F">
      <w:pPr>
        <w:pStyle w:val="ListParagraph"/>
        <w:numPr>
          <w:ilvl w:val="0"/>
          <w:numId w:val="7"/>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Vehicle dispersion. The range and cross range impact dispersion information from Attachment 1.</w:t>
      </w:r>
    </w:p>
    <w:p w:rsidR="0047704F" w:rsidRPr="0047704F" w:rsidRDefault="0047704F" w:rsidP="0047704F">
      <w:pPr>
        <w:pStyle w:val="ListParagraph"/>
        <w:numPr>
          <w:ilvl w:val="0"/>
          <w:numId w:val="7"/>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lastRenderedPageBreak/>
        <w:t>Trajectory impact data: Latitude and longitude of each launch vehicle stage or ejected components nominal impact point from Attachment 1.</w:t>
      </w:r>
      <w:r w:rsidR="00EE6194">
        <w:rPr>
          <w:rFonts w:ascii="Arial" w:eastAsia="Times New Roman" w:hAnsi="Arial" w:cs="Arial"/>
          <w:sz w:val="20"/>
          <w:szCs w:val="20"/>
        </w:rPr>
        <w:br/>
      </w:r>
    </w:p>
    <w:p w:rsidR="0047704F" w:rsidRPr="0047704F" w:rsidRDefault="0047704F" w:rsidP="0047704F">
      <w:pPr>
        <w:pStyle w:val="ListParagraph"/>
        <w:numPr>
          <w:ilvl w:val="0"/>
          <w:numId w:val="7"/>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Lethal Area: The lethal area produced by both nominal debris and failure debris is required. For the lethal area of an inert suborbital launch vehicle, an applicant may use the launch vehicle length plus 2 ft. times the largest vehicle diameter plus 2 ft. for nominal debris. For a vehicle failure, the applicant shall use the vehicle length times the largest vehicle diameter multiplied by 10. The safety factor of 10 is to account for a one foot radius applied about each piece produced from vehicle breakup.</w:t>
      </w:r>
      <w:r w:rsidR="00EE6194">
        <w:rPr>
          <w:rFonts w:ascii="Arial" w:eastAsia="Times New Roman" w:hAnsi="Arial" w:cs="Arial"/>
          <w:sz w:val="20"/>
          <w:szCs w:val="20"/>
        </w:rPr>
        <w:br/>
      </w:r>
    </w:p>
    <w:p w:rsidR="0047704F" w:rsidRPr="0047704F" w:rsidRDefault="0047704F" w:rsidP="0047704F">
      <w:pPr>
        <w:pStyle w:val="ListParagraph"/>
        <w:numPr>
          <w:ilvl w:val="0"/>
          <w:numId w:val="7"/>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Population Data: The total population within a populated area (N) and the total landmass area within the populated area (A) is required. Population data may be obtained as follows:</w:t>
      </w:r>
    </w:p>
    <w:p w:rsidR="0047704F" w:rsidRPr="0047704F" w:rsidRDefault="0047704F" w:rsidP="0047704F">
      <w:pPr>
        <w:numPr>
          <w:ilvl w:val="0"/>
          <w:numId w:val="9"/>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Launch area - U.S. Census data is available at the census block group level.</w:t>
      </w:r>
    </w:p>
    <w:p w:rsidR="0047704F" w:rsidRPr="0047704F" w:rsidRDefault="0047704F" w:rsidP="0047704F">
      <w:pPr>
        <w:numPr>
          <w:ilvl w:val="0"/>
          <w:numId w:val="9"/>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Downrange area - World population data is available from:</w:t>
      </w:r>
      <w:r w:rsidRPr="0047704F">
        <w:rPr>
          <w:rFonts w:ascii="Arial" w:eastAsia="Times New Roman" w:hAnsi="Arial" w:cs="Arial"/>
          <w:sz w:val="20"/>
          <w:szCs w:val="20"/>
        </w:rPr>
        <w:br/>
      </w:r>
      <w:r w:rsidRPr="0047704F">
        <w:rPr>
          <w:rFonts w:ascii="Arial" w:eastAsia="Times New Roman" w:hAnsi="Arial" w:cs="Arial"/>
          <w:sz w:val="20"/>
          <w:szCs w:val="20"/>
        </w:rPr>
        <w:br/>
        <w:t>Carbon Dioxide Information Analysis Center (CDIAC)</w:t>
      </w:r>
      <w:r w:rsidRPr="0047704F">
        <w:rPr>
          <w:rFonts w:ascii="Arial" w:eastAsia="Times New Roman" w:hAnsi="Arial" w:cs="Arial"/>
          <w:sz w:val="20"/>
          <w:szCs w:val="20"/>
        </w:rPr>
        <w:br/>
        <w:t>Oak Ridge National Laboratory</w:t>
      </w:r>
      <w:r w:rsidRPr="0047704F">
        <w:rPr>
          <w:rFonts w:ascii="Arial" w:eastAsia="Times New Roman" w:hAnsi="Arial" w:cs="Arial"/>
          <w:sz w:val="20"/>
          <w:szCs w:val="20"/>
        </w:rPr>
        <w:br/>
        <w:t>Oak Ridge, TN 37830-6335</w:t>
      </w:r>
      <w:r w:rsidRPr="0047704F">
        <w:rPr>
          <w:rFonts w:ascii="Arial" w:eastAsia="Times New Roman" w:hAnsi="Arial" w:cs="Arial"/>
          <w:sz w:val="20"/>
          <w:szCs w:val="20"/>
        </w:rPr>
        <w:br/>
        <w:t>Database - Global Population Distribution (1990), Terrestrial Area and Country</w:t>
      </w:r>
      <w:r w:rsidRPr="0047704F">
        <w:rPr>
          <w:rFonts w:ascii="Arial" w:eastAsia="Times New Roman" w:hAnsi="Arial" w:cs="Arial"/>
          <w:sz w:val="20"/>
          <w:szCs w:val="20"/>
        </w:rPr>
        <w:br/>
        <w:t>Name Information on a One by One Degree Grid Cell Basis (DB1016 (8-1996)</w:t>
      </w:r>
    </w:p>
    <w:p w:rsidR="0047704F" w:rsidRPr="0047704F" w:rsidRDefault="0047704F" w:rsidP="0047704F">
      <w:pPr>
        <w:spacing w:before="360" w:after="51" w:line="240" w:lineRule="auto"/>
        <w:outlineLvl w:val="1"/>
        <w:rPr>
          <w:rFonts w:ascii="Arial" w:eastAsia="Times New Roman" w:hAnsi="Arial" w:cs="Arial"/>
          <w:b/>
          <w:bCs/>
          <w:sz w:val="20"/>
          <w:szCs w:val="20"/>
        </w:rPr>
      </w:pPr>
      <w:r w:rsidRPr="0047704F">
        <w:rPr>
          <w:rFonts w:ascii="Arial" w:eastAsia="Times New Roman" w:hAnsi="Arial" w:cs="Arial"/>
          <w:b/>
          <w:bCs/>
          <w:sz w:val="20"/>
          <w:szCs w:val="20"/>
        </w:rPr>
        <w:t>Methodology</w:t>
      </w:r>
    </w:p>
    <w:p w:rsidR="0047704F" w:rsidRPr="0047704F" w:rsidRDefault="0047704F" w:rsidP="0047704F">
      <w:pPr>
        <w:pStyle w:val="ListParagraph"/>
        <w:numPr>
          <w:ilvl w:val="0"/>
          <w:numId w:val="11"/>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An applicant shall depict the maximum impact range area and the impact hazard area on a chart that shows public areas. No public areas are allowed inside the impact hazard area.</w:t>
      </w:r>
    </w:p>
    <w:p w:rsidR="0047704F" w:rsidRPr="0047704F" w:rsidRDefault="0047704F" w:rsidP="0047704F">
      <w:pPr>
        <w:pStyle w:val="ListParagraph"/>
        <w:numPr>
          <w:ilvl w:val="0"/>
          <w:numId w:val="11"/>
        </w:num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t>Casualty Expectancy (E</w:t>
      </w:r>
      <w:r w:rsidRPr="0047704F">
        <w:rPr>
          <w:rFonts w:ascii="Arial" w:eastAsia="Times New Roman" w:hAnsi="Arial" w:cs="Arial"/>
          <w:sz w:val="20"/>
          <w:szCs w:val="20"/>
          <w:vertAlign w:val="subscript"/>
        </w:rPr>
        <w:t>C</w:t>
      </w:r>
      <w:r w:rsidRPr="0047704F">
        <w:rPr>
          <w:rFonts w:ascii="Arial" w:eastAsia="Times New Roman" w:hAnsi="Arial" w:cs="Arial"/>
          <w:sz w:val="20"/>
          <w:szCs w:val="20"/>
        </w:rPr>
        <w:t>). For populated public areas between the impact hazard area and maximum impact range boundary, an applicant shall compute the casualty expectation (E</w:t>
      </w:r>
      <w:r w:rsidRPr="0047704F">
        <w:rPr>
          <w:rFonts w:ascii="Arial" w:eastAsia="Times New Roman" w:hAnsi="Arial" w:cs="Arial"/>
          <w:sz w:val="20"/>
          <w:szCs w:val="20"/>
          <w:vertAlign w:val="subscript"/>
        </w:rPr>
        <w:t>C</w:t>
      </w:r>
      <w:r w:rsidRPr="0047704F">
        <w:rPr>
          <w:rFonts w:ascii="Arial" w:eastAsia="Times New Roman" w:hAnsi="Arial" w:cs="Arial"/>
          <w:sz w:val="20"/>
          <w:szCs w:val="20"/>
        </w:rPr>
        <w:t>) by solving the following equation for each populated area exposed and for each piece of debris:</w:t>
      </w:r>
      <w:r w:rsidRPr="0047704F">
        <w:rPr>
          <w:rFonts w:ascii="Arial" w:eastAsia="Times New Roman" w:hAnsi="Arial" w:cs="Arial"/>
          <w:sz w:val="20"/>
          <w:szCs w:val="20"/>
        </w:rPr>
        <w:br/>
      </w:r>
      <w:r w:rsidRPr="0047704F">
        <w:rPr>
          <w:rFonts w:ascii="Arial" w:eastAsia="Times New Roman" w:hAnsi="Arial" w:cs="Arial"/>
          <w:sz w:val="20"/>
          <w:szCs w:val="20"/>
        </w:rPr>
        <w:br/>
        <w:t>Casualty Expectation E</w:t>
      </w:r>
      <w:r w:rsidRPr="0047704F">
        <w:rPr>
          <w:rFonts w:ascii="Arial" w:eastAsia="Times New Roman" w:hAnsi="Arial" w:cs="Arial"/>
          <w:sz w:val="20"/>
          <w:szCs w:val="20"/>
          <w:vertAlign w:val="subscript"/>
        </w:rPr>
        <w:t>C</w:t>
      </w:r>
      <w:r w:rsidRPr="0047704F">
        <w:rPr>
          <w:rFonts w:ascii="Arial" w:eastAsia="Times New Roman" w:hAnsi="Arial" w:cs="Arial"/>
          <w:sz w:val="20"/>
          <w:szCs w:val="20"/>
        </w:rPr>
        <w:t> = Σ [P</w:t>
      </w:r>
      <w:r w:rsidRPr="0047704F">
        <w:rPr>
          <w:rFonts w:ascii="Arial" w:eastAsia="Times New Roman" w:hAnsi="Arial" w:cs="Arial"/>
          <w:sz w:val="20"/>
          <w:szCs w:val="20"/>
          <w:vertAlign w:val="subscript"/>
        </w:rPr>
        <w:t>i</w:t>
      </w:r>
      <w:r w:rsidRPr="0047704F">
        <w:rPr>
          <w:rFonts w:ascii="Arial" w:eastAsia="Times New Roman" w:hAnsi="Arial" w:cs="Arial"/>
          <w:sz w:val="20"/>
          <w:szCs w:val="20"/>
        </w:rPr>
        <w:t> </w:t>
      </w:r>
      <w:r w:rsidRPr="0047704F">
        <w:rPr>
          <w:rFonts w:ascii="Cambria Math" w:eastAsia="Times New Roman" w:hAnsi="Cambria Math" w:cs="Cambria Math"/>
          <w:sz w:val="20"/>
          <w:szCs w:val="20"/>
        </w:rPr>
        <w:t>⋅</w:t>
      </w:r>
      <w:r w:rsidRPr="0047704F">
        <w:rPr>
          <w:rFonts w:ascii="Arial" w:eastAsia="Times New Roman" w:hAnsi="Arial" w:cs="Arial"/>
          <w:sz w:val="20"/>
          <w:szCs w:val="20"/>
        </w:rPr>
        <w:t xml:space="preserve"> A</w:t>
      </w:r>
      <w:r w:rsidRPr="0047704F">
        <w:rPr>
          <w:rFonts w:ascii="Arial" w:eastAsia="Times New Roman" w:hAnsi="Arial" w:cs="Arial"/>
          <w:sz w:val="20"/>
          <w:szCs w:val="20"/>
          <w:vertAlign w:val="subscript"/>
        </w:rPr>
        <w:t>L</w:t>
      </w:r>
      <w:r w:rsidRPr="0047704F">
        <w:rPr>
          <w:rFonts w:ascii="Arial" w:eastAsia="Times New Roman" w:hAnsi="Arial" w:cs="Arial"/>
          <w:sz w:val="20"/>
          <w:szCs w:val="20"/>
        </w:rPr>
        <w:t> </w:t>
      </w:r>
      <w:r w:rsidRPr="0047704F">
        <w:rPr>
          <w:rFonts w:ascii="Cambria Math" w:eastAsia="Times New Roman" w:hAnsi="Cambria Math" w:cs="Cambria Math"/>
          <w:sz w:val="20"/>
          <w:szCs w:val="20"/>
        </w:rPr>
        <w:t>⋅</w:t>
      </w:r>
      <w:r w:rsidRPr="0047704F">
        <w:rPr>
          <w:rFonts w:ascii="Arial" w:eastAsia="Times New Roman" w:hAnsi="Arial" w:cs="Arial"/>
          <w:sz w:val="20"/>
          <w:szCs w:val="20"/>
        </w:rPr>
        <w:t xml:space="preserve"> P</w:t>
      </w:r>
      <w:r w:rsidRPr="0047704F">
        <w:rPr>
          <w:rFonts w:ascii="Arial" w:eastAsia="Times New Roman" w:hAnsi="Arial" w:cs="Arial"/>
          <w:sz w:val="20"/>
          <w:szCs w:val="20"/>
          <w:vertAlign w:val="subscript"/>
        </w:rPr>
        <w:t>d</w:t>
      </w:r>
      <w:r w:rsidRPr="0047704F">
        <w:rPr>
          <w:rFonts w:ascii="Arial" w:eastAsia="Times New Roman" w:hAnsi="Arial" w:cs="Arial"/>
          <w:sz w:val="20"/>
          <w:szCs w:val="20"/>
        </w:rPr>
        <w:t>]</w:t>
      </w:r>
      <w:r w:rsidRPr="0047704F">
        <w:rPr>
          <w:rFonts w:ascii="Arial" w:eastAsia="Times New Roman" w:hAnsi="Arial" w:cs="Arial"/>
          <w:sz w:val="20"/>
          <w:szCs w:val="20"/>
        </w:rPr>
        <w:br/>
        <w:t>where:</w:t>
      </w:r>
    </w:p>
    <w:p w:rsidR="0047704F" w:rsidRPr="0047704F" w:rsidRDefault="0047704F" w:rsidP="0047704F">
      <w:pPr>
        <w:pStyle w:val="ListParagraph"/>
        <w:numPr>
          <w:ilvl w:val="0"/>
          <w:numId w:val="12"/>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P</w:t>
      </w:r>
      <w:r w:rsidRPr="0047704F">
        <w:rPr>
          <w:rFonts w:ascii="Arial" w:eastAsia="Times New Roman" w:hAnsi="Arial" w:cs="Arial"/>
          <w:sz w:val="20"/>
          <w:szCs w:val="20"/>
          <w:vertAlign w:val="subscript"/>
        </w:rPr>
        <w:t>i</w:t>
      </w:r>
      <w:r w:rsidRPr="0047704F">
        <w:rPr>
          <w:rFonts w:ascii="Arial" w:eastAsia="Times New Roman" w:hAnsi="Arial" w:cs="Arial"/>
          <w:sz w:val="20"/>
          <w:szCs w:val="20"/>
        </w:rPr>
        <w:t> is the probability of impact for each populated area;</w:t>
      </w:r>
    </w:p>
    <w:p w:rsidR="0047704F" w:rsidRPr="0047704F" w:rsidRDefault="0047704F" w:rsidP="0047704F">
      <w:pPr>
        <w:pStyle w:val="ListParagraph"/>
        <w:numPr>
          <w:ilvl w:val="0"/>
          <w:numId w:val="12"/>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A</w:t>
      </w:r>
      <w:r w:rsidRPr="0047704F">
        <w:rPr>
          <w:rFonts w:ascii="Arial" w:eastAsia="Times New Roman" w:hAnsi="Arial" w:cs="Arial"/>
          <w:sz w:val="20"/>
          <w:szCs w:val="20"/>
          <w:vertAlign w:val="subscript"/>
        </w:rPr>
        <w:t>L</w:t>
      </w:r>
      <w:r w:rsidRPr="0047704F">
        <w:rPr>
          <w:rFonts w:ascii="Arial" w:eastAsia="Times New Roman" w:hAnsi="Arial" w:cs="Arial"/>
          <w:sz w:val="20"/>
          <w:szCs w:val="20"/>
        </w:rPr>
        <w:t> is the lethal area of the debris;</w:t>
      </w:r>
    </w:p>
    <w:p w:rsidR="0047704F" w:rsidRPr="0047704F" w:rsidRDefault="0047704F" w:rsidP="0047704F">
      <w:pPr>
        <w:pStyle w:val="ListParagraph"/>
        <w:numPr>
          <w:ilvl w:val="0"/>
          <w:numId w:val="12"/>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P</w:t>
      </w:r>
      <w:r w:rsidRPr="0047704F">
        <w:rPr>
          <w:rFonts w:ascii="Arial" w:eastAsia="Times New Roman" w:hAnsi="Arial" w:cs="Arial"/>
          <w:sz w:val="20"/>
          <w:szCs w:val="20"/>
          <w:vertAlign w:val="subscript"/>
        </w:rPr>
        <w:t>d</w:t>
      </w:r>
      <w:r w:rsidRPr="0047704F">
        <w:rPr>
          <w:rFonts w:ascii="Arial" w:eastAsia="Times New Roman" w:hAnsi="Arial" w:cs="Arial"/>
          <w:sz w:val="20"/>
          <w:szCs w:val="20"/>
        </w:rPr>
        <w:t> is population density of the populated area.</w:t>
      </w:r>
      <w:r>
        <w:rPr>
          <w:rFonts w:ascii="Arial" w:eastAsia="Times New Roman" w:hAnsi="Arial" w:cs="Arial"/>
          <w:sz w:val="20"/>
          <w:szCs w:val="20"/>
        </w:rPr>
        <w:br/>
      </w:r>
    </w:p>
    <w:p w:rsidR="0047704F" w:rsidRPr="0047704F" w:rsidRDefault="0047704F" w:rsidP="0047704F">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Compute the probability of impact inside the populated area by:</w:t>
      </w:r>
      <w:r w:rsidRPr="0047704F">
        <w:rPr>
          <w:rFonts w:ascii="Arial" w:eastAsia="Times New Roman" w:hAnsi="Arial" w:cs="Arial"/>
          <w:sz w:val="20"/>
          <w:szCs w:val="20"/>
        </w:rPr>
        <w:br/>
      </w:r>
      <w:r w:rsidRPr="0047704F">
        <w:rPr>
          <w:rFonts w:ascii="Arial" w:eastAsia="Times New Roman" w:hAnsi="Arial" w:cs="Arial"/>
          <w:sz w:val="20"/>
          <w:szCs w:val="20"/>
        </w:rPr>
        <w:br/>
        <w:t>P</w:t>
      </w:r>
      <w:r w:rsidRPr="0047704F">
        <w:rPr>
          <w:rFonts w:ascii="Arial" w:eastAsia="Times New Roman" w:hAnsi="Arial" w:cs="Arial"/>
          <w:sz w:val="20"/>
          <w:szCs w:val="20"/>
          <w:vertAlign w:val="subscript"/>
        </w:rPr>
        <w:t>i</w:t>
      </w:r>
      <w:r w:rsidRPr="0047704F">
        <w:rPr>
          <w:rFonts w:ascii="Arial" w:eastAsia="Times New Roman" w:hAnsi="Arial" w:cs="Arial"/>
          <w:sz w:val="20"/>
          <w:szCs w:val="20"/>
        </w:rPr>
        <w:t> = P</w:t>
      </w:r>
      <w:r w:rsidRPr="0047704F">
        <w:rPr>
          <w:rFonts w:ascii="Arial" w:eastAsia="Times New Roman" w:hAnsi="Arial" w:cs="Arial"/>
          <w:sz w:val="20"/>
          <w:szCs w:val="20"/>
          <w:vertAlign w:val="subscript"/>
        </w:rPr>
        <w:t>f</w:t>
      </w:r>
      <w:r w:rsidRPr="0047704F">
        <w:rPr>
          <w:rFonts w:ascii="Arial" w:eastAsia="Times New Roman" w:hAnsi="Arial" w:cs="Arial"/>
          <w:sz w:val="20"/>
          <w:szCs w:val="20"/>
        </w:rPr>
        <w:t> </w:t>
      </w:r>
      <w:r w:rsidRPr="0047704F">
        <w:rPr>
          <w:rFonts w:ascii="Cambria Math" w:eastAsia="Times New Roman" w:hAnsi="Cambria Math" w:cs="Cambria Math"/>
          <w:sz w:val="20"/>
          <w:szCs w:val="20"/>
        </w:rPr>
        <w:t>⋅</w:t>
      </w:r>
      <w:r w:rsidRPr="0047704F">
        <w:rPr>
          <w:rFonts w:ascii="Arial" w:eastAsia="Times New Roman" w:hAnsi="Arial" w:cs="Arial"/>
          <w:sz w:val="20"/>
          <w:szCs w:val="20"/>
        </w:rPr>
        <w:t xml:space="preserve"> P</w:t>
      </w:r>
      <w:r w:rsidRPr="0047704F">
        <w:rPr>
          <w:rFonts w:ascii="Arial" w:eastAsia="Times New Roman" w:hAnsi="Arial" w:cs="Arial"/>
          <w:sz w:val="20"/>
          <w:szCs w:val="20"/>
          <w:vertAlign w:val="subscript"/>
        </w:rPr>
        <w:t>o</w:t>
      </w:r>
      <w:r w:rsidRPr="0047704F">
        <w:rPr>
          <w:rFonts w:ascii="Arial" w:eastAsia="Times New Roman" w:hAnsi="Arial" w:cs="Arial"/>
          <w:sz w:val="20"/>
          <w:szCs w:val="20"/>
        </w:rPr>
        <w:t> </w:t>
      </w:r>
      <w:r w:rsidRPr="0047704F">
        <w:rPr>
          <w:rFonts w:ascii="Cambria Math" w:eastAsia="Times New Roman" w:hAnsi="Cambria Math" w:cs="Cambria Math"/>
          <w:sz w:val="20"/>
          <w:szCs w:val="20"/>
        </w:rPr>
        <w:t>⋅</w:t>
      </w:r>
      <w:r w:rsidRPr="0047704F">
        <w:rPr>
          <w:rFonts w:ascii="Arial" w:eastAsia="Times New Roman" w:hAnsi="Arial" w:cs="Arial"/>
          <w:sz w:val="20"/>
          <w:szCs w:val="20"/>
        </w:rPr>
        <w:t> </w:t>
      </w:r>
      <w:r w:rsidRPr="0047704F">
        <w:rPr>
          <w:rFonts w:ascii="Arial" w:eastAsia="Times New Roman" w:hAnsi="Arial" w:cs="Arial"/>
          <w:sz w:val="20"/>
          <w:szCs w:val="20"/>
          <w:vertAlign w:val="superscript"/>
        </w:rPr>
        <w:t>AP</w:t>
      </w:r>
      <w:r w:rsidRPr="0047704F">
        <w:rPr>
          <w:rFonts w:ascii="Arial" w:eastAsia="Times New Roman" w:hAnsi="Arial" w:cs="Arial"/>
          <w:sz w:val="20"/>
          <w:szCs w:val="20"/>
        </w:rPr>
        <w:t>/</w:t>
      </w:r>
      <w:r w:rsidRPr="0047704F">
        <w:rPr>
          <w:rFonts w:ascii="Arial" w:eastAsia="Times New Roman" w:hAnsi="Arial" w:cs="Arial"/>
          <w:sz w:val="20"/>
          <w:szCs w:val="20"/>
          <w:vertAlign w:val="subscript"/>
        </w:rPr>
        <w:t>AO3</w:t>
      </w:r>
      <w:r w:rsidRPr="0047704F">
        <w:rPr>
          <w:rFonts w:ascii="Arial" w:eastAsia="Times New Roman" w:hAnsi="Arial" w:cs="Arial"/>
          <w:sz w:val="20"/>
          <w:szCs w:val="20"/>
        </w:rPr>
        <w:t>σ</w:t>
      </w:r>
      <w:r w:rsidRPr="0047704F">
        <w:rPr>
          <w:rFonts w:ascii="Arial" w:eastAsia="Times New Roman" w:hAnsi="Arial" w:cs="Arial"/>
          <w:sz w:val="20"/>
          <w:szCs w:val="20"/>
        </w:rPr>
        <w:br/>
        <w:t>where:</w:t>
      </w:r>
    </w:p>
    <w:p w:rsidR="0047704F" w:rsidRPr="0047704F" w:rsidRDefault="0047704F" w:rsidP="0047704F">
      <w:pPr>
        <w:pStyle w:val="ListParagraph"/>
        <w:numPr>
          <w:ilvl w:val="0"/>
          <w:numId w:val="16"/>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P</w:t>
      </w:r>
      <w:r w:rsidRPr="0047704F">
        <w:rPr>
          <w:rFonts w:ascii="Arial" w:eastAsia="Times New Roman" w:hAnsi="Arial" w:cs="Arial"/>
          <w:sz w:val="20"/>
          <w:szCs w:val="20"/>
          <w:vertAlign w:val="subscript"/>
        </w:rPr>
        <w:t>f</w:t>
      </w:r>
      <w:r w:rsidRPr="0047704F">
        <w:rPr>
          <w:rFonts w:ascii="Arial" w:eastAsia="Times New Roman" w:hAnsi="Arial" w:cs="Arial"/>
          <w:sz w:val="20"/>
          <w:szCs w:val="20"/>
        </w:rPr>
        <w:t> is the probability of failure;</w:t>
      </w:r>
    </w:p>
    <w:p w:rsidR="0047704F" w:rsidRPr="0047704F" w:rsidRDefault="0047704F" w:rsidP="0047704F">
      <w:pPr>
        <w:pStyle w:val="ListParagraph"/>
        <w:numPr>
          <w:ilvl w:val="0"/>
          <w:numId w:val="16"/>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P</w:t>
      </w:r>
      <w:r w:rsidRPr="0047704F">
        <w:rPr>
          <w:rFonts w:ascii="Arial" w:eastAsia="Times New Roman" w:hAnsi="Arial" w:cs="Arial"/>
          <w:sz w:val="20"/>
          <w:szCs w:val="20"/>
          <w:vertAlign w:val="subscript"/>
        </w:rPr>
        <w:t>o</w:t>
      </w:r>
      <w:r w:rsidRPr="0047704F">
        <w:rPr>
          <w:rFonts w:ascii="Arial" w:eastAsia="Times New Roman" w:hAnsi="Arial" w:cs="Arial"/>
          <w:sz w:val="20"/>
          <w:szCs w:val="20"/>
        </w:rPr>
        <w:t> is the probability of occurrence (0.15);</w:t>
      </w:r>
    </w:p>
    <w:p w:rsidR="0047704F" w:rsidRPr="0047704F" w:rsidRDefault="0047704F" w:rsidP="0047704F">
      <w:pPr>
        <w:pStyle w:val="ListParagraph"/>
        <w:numPr>
          <w:ilvl w:val="0"/>
          <w:numId w:val="16"/>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A</w:t>
      </w:r>
      <w:r w:rsidRPr="0047704F">
        <w:rPr>
          <w:rFonts w:ascii="Arial" w:eastAsia="Times New Roman" w:hAnsi="Arial" w:cs="Arial"/>
          <w:sz w:val="20"/>
          <w:szCs w:val="20"/>
          <w:vertAlign w:val="subscript"/>
        </w:rPr>
        <w:t>P</w:t>
      </w:r>
      <w:r w:rsidRPr="0047704F">
        <w:rPr>
          <w:rFonts w:ascii="Arial" w:eastAsia="Times New Roman" w:hAnsi="Arial" w:cs="Arial"/>
          <w:sz w:val="20"/>
          <w:szCs w:val="20"/>
        </w:rPr>
        <w:t> is the area of the populated area;</w:t>
      </w:r>
    </w:p>
    <w:p w:rsidR="0047704F" w:rsidRPr="0047704F" w:rsidRDefault="0047704F" w:rsidP="0047704F">
      <w:pPr>
        <w:pStyle w:val="ListParagraph"/>
        <w:numPr>
          <w:ilvl w:val="0"/>
          <w:numId w:val="16"/>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A</w:t>
      </w:r>
      <w:r w:rsidRPr="0047704F">
        <w:rPr>
          <w:rFonts w:ascii="Arial" w:eastAsia="Times New Roman" w:hAnsi="Arial" w:cs="Arial"/>
          <w:sz w:val="20"/>
          <w:szCs w:val="20"/>
          <w:vertAlign w:val="subscript"/>
        </w:rPr>
        <w:t>O3</w:t>
      </w:r>
      <w:r w:rsidRPr="0047704F">
        <w:rPr>
          <w:rFonts w:ascii="Arial" w:eastAsia="Times New Roman" w:hAnsi="Arial" w:cs="Arial"/>
          <w:sz w:val="20"/>
          <w:szCs w:val="20"/>
        </w:rPr>
        <w:t>σ is the area inside the circle defined by maximum range radius, minus the area inside the impact hazard area</w:t>
      </w:r>
      <w:r>
        <w:rPr>
          <w:rFonts w:ascii="Arial" w:eastAsia="Times New Roman" w:hAnsi="Arial" w:cs="Arial"/>
          <w:sz w:val="20"/>
          <w:szCs w:val="20"/>
        </w:rPr>
        <w:br/>
      </w:r>
    </w:p>
    <w:p w:rsidR="0047704F" w:rsidRPr="0047704F" w:rsidRDefault="0047704F" w:rsidP="0047704F">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An applicant may subdivide a computation sector that contains a sparsely populated area and densely populated area by first computing the dense area. The next step is to subtract the dense area from the total sector area and then compute the EC from the remaining population and the remaining area as a subsector.</w:t>
      </w:r>
    </w:p>
    <w:p w:rsidR="0047704F" w:rsidRPr="0047704F" w:rsidRDefault="0047704F" w:rsidP="0047704F">
      <w:pPr>
        <w:pStyle w:val="ListParagraph"/>
        <w:numPr>
          <w:ilvl w:val="0"/>
          <w:numId w:val="15"/>
        </w:numPr>
        <w:spacing w:before="100" w:beforeAutospacing="1" w:after="100" w:afterAutospacing="1" w:line="240" w:lineRule="auto"/>
        <w:rPr>
          <w:rFonts w:ascii="Arial" w:eastAsia="Times New Roman" w:hAnsi="Arial" w:cs="Arial"/>
          <w:sz w:val="20"/>
          <w:szCs w:val="20"/>
        </w:rPr>
      </w:pPr>
      <w:r w:rsidRPr="0047704F">
        <w:rPr>
          <w:rFonts w:ascii="Arial" w:eastAsia="Times New Roman" w:hAnsi="Arial" w:cs="Arial"/>
          <w:sz w:val="20"/>
          <w:szCs w:val="20"/>
        </w:rPr>
        <w:t>The result of the casualty expectation must be no greater than 30x10-6. If the result is greater, the proposed launch is unacceptable.</w:t>
      </w:r>
    </w:p>
    <w:p w:rsidR="0047704F" w:rsidRPr="0047704F" w:rsidRDefault="0047704F" w:rsidP="0047704F">
      <w:pPr>
        <w:spacing w:before="360" w:after="51" w:line="240" w:lineRule="auto"/>
        <w:outlineLvl w:val="1"/>
        <w:rPr>
          <w:rFonts w:ascii="Arial" w:eastAsia="Times New Roman" w:hAnsi="Arial" w:cs="Arial"/>
          <w:b/>
          <w:bCs/>
          <w:sz w:val="20"/>
          <w:szCs w:val="20"/>
        </w:rPr>
      </w:pPr>
      <w:r w:rsidRPr="0047704F">
        <w:rPr>
          <w:rFonts w:ascii="Arial" w:eastAsia="Times New Roman" w:hAnsi="Arial" w:cs="Arial"/>
          <w:b/>
          <w:bCs/>
          <w:sz w:val="20"/>
          <w:szCs w:val="20"/>
        </w:rPr>
        <w:t>Output</w:t>
      </w:r>
    </w:p>
    <w:p w:rsidR="007509A6" w:rsidRPr="0047704F" w:rsidRDefault="0047704F" w:rsidP="0047704F">
      <w:pPr>
        <w:spacing w:before="360" w:after="51" w:line="240" w:lineRule="auto"/>
        <w:rPr>
          <w:rFonts w:ascii="Arial" w:eastAsia="Times New Roman" w:hAnsi="Arial" w:cs="Arial"/>
          <w:sz w:val="20"/>
          <w:szCs w:val="20"/>
        </w:rPr>
      </w:pPr>
      <w:r w:rsidRPr="0047704F">
        <w:rPr>
          <w:rFonts w:ascii="Arial" w:eastAsia="Times New Roman" w:hAnsi="Arial" w:cs="Arial"/>
          <w:sz w:val="20"/>
          <w:szCs w:val="20"/>
        </w:rPr>
        <w:lastRenderedPageBreak/>
        <w:t>For each of the risk analysis defined above, the applicant shall document the methodology used, the source of input data, a calculation sample for each analysis and the results of the mission EC and land impact probability.</w:t>
      </w:r>
    </w:p>
    <w:sectPr w:rsidR="007509A6" w:rsidRPr="004770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87" w:rsidRDefault="00F96F87" w:rsidP="0047704F">
      <w:pPr>
        <w:spacing w:after="0" w:line="240" w:lineRule="auto"/>
      </w:pPr>
      <w:r>
        <w:separator/>
      </w:r>
    </w:p>
  </w:endnote>
  <w:endnote w:type="continuationSeparator" w:id="0">
    <w:p w:rsidR="00F96F87" w:rsidRDefault="00F96F87" w:rsidP="0047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E" w:rsidRDefault="006B0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26936"/>
      <w:docPartObj>
        <w:docPartGallery w:val="Page Numbers (Bottom of Page)"/>
        <w:docPartUnique/>
      </w:docPartObj>
    </w:sdtPr>
    <w:sdtEndPr>
      <w:rPr>
        <w:noProof/>
      </w:rPr>
    </w:sdtEndPr>
    <w:sdtContent>
      <w:bookmarkStart w:id="0" w:name="_GoBack" w:displacedByCustomXml="prev"/>
      <w:bookmarkEnd w:id="0" w:displacedByCustomXml="prev"/>
      <w:p w:rsidR="006B068E" w:rsidRDefault="006B06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704F" w:rsidRDefault="00477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E" w:rsidRDefault="006B0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87" w:rsidRDefault="00F96F87" w:rsidP="0047704F">
      <w:pPr>
        <w:spacing w:after="0" w:line="240" w:lineRule="auto"/>
      </w:pPr>
      <w:r>
        <w:separator/>
      </w:r>
    </w:p>
  </w:footnote>
  <w:footnote w:type="continuationSeparator" w:id="0">
    <w:p w:rsidR="00F96F87" w:rsidRDefault="00F96F87" w:rsidP="0047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E" w:rsidRDefault="006B0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E" w:rsidRDefault="006B0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E" w:rsidRDefault="006B0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06DA"/>
    <w:multiLevelType w:val="multilevel"/>
    <w:tmpl w:val="10388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527B6"/>
    <w:multiLevelType w:val="multilevel"/>
    <w:tmpl w:val="350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038BC"/>
    <w:multiLevelType w:val="hybridMultilevel"/>
    <w:tmpl w:val="AD309F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66707"/>
    <w:multiLevelType w:val="multilevel"/>
    <w:tmpl w:val="AE8A92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CD61E78"/>
    <w:multiLevelType w:val="multilevel"/>
    <w:tmpl w:val="39CA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87555"/>
    <w:multiLevelType w:val="multilevel"/>
    <w:tmpl w:val="28303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263164"/>
    <w:multiLevelType w:val="multilevel"/>
    <w:tmpl w:val="F8629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696B11"/>
    <w:multiLevelType w:val="hybridMultilevel"/>
    <w:tmpl w:val="5B7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837F2"/>
    <w:multiLevelType w:val="multilevel"/>
    <w:tmpl w:val="FA122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971F51"/>
    <w:multiLevelType w:val="multilevel"/>
    <w:tmpl w:val="F99452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D73B7"/>
    <w:multiLevelType w:val="multilevel"/>
    <w:tmpl w:val="F99452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5D51B1"/>
    <w:multiLevelType w:val="multilevel"/>
    <w:tmpl w:val="92E0F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85960"/>
    <w:multiLevelType w:val="hybridMultilevel"/>
    <w:tmpl w:val="E02E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35220"/>
    <w:multiLevelType w:val="multilevel"/>
    <w:tmpl w:val="AE8A92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DE62244"/>
    <w:multiLevelType w:val="multilevel"/>
    <w:tmpl w:val="F86292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6"/>
  </w:num>
  <w:num w:numId="4">
    <w:abstractNumId w:val="5"/>
  </w:num>
  <w:num w:numId="5">
    <w:abstractNumId w:val="5"/>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abstractNumId w:val="2"/>
  </w:num>
  <w:num w:numId="7">
    <w:abstractNumId w:val="14"/>
  </w:num>
  <w:num w:numId="8">
    <w:abstractNumId w:val="8"/>
  </w:num>
  <w:num w:numId="9">
    <w:abstractNumId w:val="10"/>
  </w:num>
  <w:num w:numId="10">
    <w:abstractNumId w:val="9"/>
  </w:num>
  <w:num w:numId="11">
    <w:abstractNumId w:val="13"/>
  </w:num>
  <w:num w:numId="12">
    <w:abstractNumId w:val="12"/>
  </w:num>
  <w:num w:numId="13">
    <w:abstractNumId w:val="3"/>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4F"/>
    <w:rsid w:val="0047704F"/>
    <w:rsid w:val="006B068E"/>
    <w:rsid w:val="007509A6"/>
    <w:rsid w:val="009A01F4"/>
    <w:rsid w:val="00EE6194"/>
    <w:rsid w:val="00F9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C23A"/>
  <w15:chartTrackingRefBased/>
  <w15:docId w15:val="{7E21B56D-F1B3-4EC6-AC04-3A710DA1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0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7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704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704F"/>
    <w:rPr>
      <w:color w:val="0000FF"/>
      <w:u w:val="single"/>
    </w:rPr>
  </w:style>
  <w:style w:type="paragraph" w:styleId="NormalWeb">
    <w:name w:val="Normal (Web)"/>
    <w:basedOn w:val="Normal"/>
    <w:uiPriority w:val="99"/>
    <w:semiHidden/>
    <w:unhideWhenUsed/>
    <w:rsid w:val="004770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704F"/>
    <w:pPr>
      <w:ind w:left="720"/>
      <w:contextualSpacing/>
    </w:pPr>
  </w:style>
  <w:style w:type="paragraph" w:styleId="Header">
    <w:name w:val="header"/>
    <w:basedOn w:val="Normal"/>
    <w:link w:val="HeaderChar"/>
    <w:uiPriority w:val="99"/>
    <w:unhideWhenUsed/>
    <w:rsid w:val="0047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04F"/>
  </w:style>
  <w:style w:type="paragraph" w:styleId="Footer">
    <w:name w:val="footer"/>
    <w:basedOn w:val="Normal"/>
    <w:link w:val="FooterChar"/>
    <w:uiPriority w:val="99"/>
    <w:unhideWhenUsed/>
    <w:rsid w:val="0047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2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about/office_org/headquarters_offices/ast/licenses_permits/launch_reentry/reusable/safety/guidelines/sag_uslv/media/fig_2.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Janice H-CTR (FAA)</dc:creator>
  <cp:keywords/>
  <dc:description/>
  <cp:lastModifiedBy>Kaufmann, Janice H-CTR (FAA)</cp:lastModifiedBy>
  <cp:revision>4</cp:revision>
  <dcterms:created xsi:type="dcterms:W3CDTF">2020-01-23T19:38:00Z</dcterms:created>
  <dcterms:modified xsi:type="dcterms:W3CDTF">2020-01-23T19:54:00Z</dcterms:modified>
</cp:coreProperties>
</file>